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DA" w:rsidRDefault="00483502" w:rsidP="00A30EC0">
      <w:pPr>
        <w:rPr>
          <w:b/>
          <w:sz w:val="32"/>
          <w:szCs w:val="32"/>
        </w:rPr>
      </w:pPr>
      <w:bookmarkStart w:id="0" w:name="_GoBack"/>
      <w:bookmarkEnd w:id="0"/>
      <w:r>
        <w:rPr>
          <w:b/>
          <w:noProof/>
          <w:sz w:val="28"/>
          <w:szCs w:val="28"/>
        </w:rPr>
        <mc:AlternateContent>
          <mc:Choice Requires="wps">
            <w:drawing>
              <wp:anchor distT="0" distB="0" distL="114300" distR="114300" simplePos="0" relativeHeight="251657728" behindDoc="0" locked="0" layoutInCell="1" allowOverlap="1" wp14:anchorId="1921CDF9" wp14:editId="40E7882C">
                <wp:simplePos x="0" y="0"/>
                <wp:positionH relativeFrom="column">
                  <wp:posOffset>4286250</wp:posOffset>
                </wp:positionH>
                <wp:positionV relativeFrom="paragraph">
                  <wp:posOffset>-472440</wp:posOffset>
                </wp:positionV>
                <wp:extent cx="1697355" cy="996315"/>
                <wp:effectExtent l="0" t="381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D0E" w:rsidRPr="005C1903" w:rsidRDefault="00483502">
                            <w:r>
                              <w:rPr>
                                <w:noProof/>
                              </w:rPr>
                              <w:drawing>
                                <wp:inline distT="0" distB="0" distL="0" distR="0" wp14:anchorId="43939516" wp14:editId="0FCB3F0B">
                                  <wp:extent cx="1514475" cy="904875"/>
                                  <wp:effectExtent l="0" t="0" r="9525" b="9525"/>
                                  <wp:docPr id="1" name="Picture 1" descr="TAMUK 3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UK 3 Col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904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21CDF9" id="_x0000_t202" coordsize="21600,21600" o:spt="202" path="m,l,21600r21600,l21600,xe">
                <v:stroke joinstyle="miter"/>
                <v:path gradientshapeok="t" o:connecttype="rect"/>
              </v:shapetype>
              <v:shape id="Text Box 22" o:spid="_x0000_s1026" type="#_x0000_t202" style="position:absolute;margin-left:337.5pt;margin-top:-37.2pt;width:133.65pt;height:78.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tqfwIAAA4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" stroked="f">
                <v:textbox style="mso-fit-shape-to-text:t">
                  <w:txbxContent>
                    <w:p w:rsidR="00033D0E" w:rsidRPr="005C1903" w:rsidRDefault="00483502">
                      <w:r>
                        <w:rPr>
                          <w:noProof/>
                        </w:rPr>
                        <w:drawing>
                          <wp:inline distT="0" distB="0" distL="0" distR="0" wp14:anchorId="43939516" wp14:editId="0FCB3F0B">
                            <wp:extent cx="1514475" cy="904875"/>
                            <wp:effectExtent l="0" t="0" r="9525" b="9525"/>
                            <wp:docPr id="1" name="Picture 1" descr="TAMUK 3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UK 3 Col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904875"/>
                                    </a:xfrm>
                                    <a:prstGeom prst="rect">
                                      <a:avLst/>
                                    </a:prstGeom>
                                    <a:noFill/>
                                    <a:ln>
                                      <a:noFill/>
                                    </a:ln>
                                  </pic:spPr>
                                </pic:pic>
                              </a:graphicData>
                            </a:graphic>
                          </wp:inline>
                        </w:drawing>
                      </w:r>
                    </w:p>
                  </w:txbxContent>
                </v:textbox>
              </v:shape>
            </w:pict>
          </mc:Fallback>
        </mc:AlternateContent>
      </w:r>
      <w:r w:rsidR="00F20616">
        <w:rPr>
          <w:b/>
          <w:noProof/>
          <w:sz w:val="28"/>
          <w:szCs w:val="28"/>
        </w:rPr>
        <w:t>29.01.99</w:t>
      </w:r>
      <w:r w:rsidR="00633130">
        <w:rPr>
          <w:b/>
          <w:noProof/>
          <w:sz w:val="28"/>
          <w:szCs w:val="28"/>
        </w:rPr>
        <w:t>.K</w:t>
      </w:r>
      <w:r w:rsidR="00F20616">
        <w:rPr>
          <w:b/>
          <w:noProof/>
          <w:sz w:val="28"/>
          <w:szCs w:val="28"/>
        </w:rPr>
        <w:t>1</w:t>
      </w:r>
      <w:r w:rsidR="00633130">
        <w:rPr>
          <w:b/>
          <w:noProof/>
          <w:sz w:val="28"/>
          <w:szCs w:val="28"/>
        </w:rPr>
        <w:t>.</w:t>
      </w:r>
      <w:r w:rsidR="00F20616">
        <w:rPr>
          <w:b/>
          <w:noProof/>
          <w:sz w:val="28"/>
          <w:szCs w:val="28"/>
        </w:rPr>
        <w:t>060</w:t>
      </w:r>
      <w:r w:rsidR="005E31E5">
        <w:rPr>
          <w:b/>
          <w:sz w:val="32"/>
          <w:szCs w:val="32"/>
        </w:rPr>
        <w:t xml:space="preserve">   </w:t>
      </w:r>
      <w:r w:rsidR="00E831F0">
        <w:rPr>
          <w:b/>
          <w:sz w:val="32"/>
          <w:szCs w:val="32"/>
        </w:rPr>
        <w:t>Email</w:t>
      </w:r>
      <w:r w:rsidR="00F20616">
        <w:rPr>
          <w:b/>
          <w:sz w:val="32"/>
          <w:szCs w:val="32"/>
        </w:rPr>
        <w:t xml:space="preserve"> Procedure</w:t>
      </w:r>
    </w:p>
    <w:p w:rsidR="00C23C7E" w:rsidRPr="00B33BDA" w:rsidRDefault="00B33BDA">
      <w:r>
        <w:rPr>
          <w:b/>
        </w:rPr>
        <w:tab/>
      </w:r>
      <w:r w:rsidR="005C1903" w:rsidRPr="00B33BDA">
        <w:rPr>
          <w:b/>
        </w:rPr>
        <w:tab/>
      </w:r>
      <w:r w:rsidR="005C1903" w:rsidRPr="00B33BDA">
        <w:rPr>
          <w:b/>
        </w:rPr>
        <w:tab/>
      </w:r>
      <w:r w:rsidR="00725F30" w:rsidRPr="00B33BDA">
        <w:rPr>
          <w:b/>
        </w:rPr>
        <w:tab/>
      </w:r>
      <w:r w:rsidR="00725F30" w:rsidRPr="00B33BDA">
        <w:rPr>
          <w:b/>
        </w:rPr>
        <w:tab/>
      </w:r>
      <w:r w:rsidR="00725F30" w:rsidRPr="00B33BDA">
        <w:rPr>
          <w:b/>
        </w:rPr>
        <w:tab/>
      </w:r>
      <w:r w:rsidR="00725F30" w:rsidRPr="00B33BDA">
        <w:rPr>
          <w:b/>
        </w:rPr>
        <w:tab/>
      </w:r>
    </w:p>
    <w:p w:rsidR="00C23C7E" w:rsidRDefault="00B33BDA" w:rsidP="00B33BDA">
      <w:pPr>
        <w:tabs>
          <w:tab w:val="left" w:pos="1260"/>
        </w:tabs>
      </w:pPr>
      <w:r>
        <w:tab/>
      </w:r>
      <w:r w:rsidR="00633130">
        <w:tab/>
      </w:r>
      <w:r w:rsidR="00633130">
        <w:tab/>
      </w:r>
      <w:r w:rsidR="00C23C7E">
        <w:t xml:space="preserve">Approved </w:t>
      </w:r>
      <w:r w:rsidR="00E371E0">
        <w:t>Apr</w:t>
      </w:r>
      <w:r w:rsidR="00ED6383">
        <w:t xml:space="preserve"> 01</w:t>
      </w:r>
      <w:r>
        <w:t>, 20</w:t>
      </w:r>
      <w:r w:rsidR="00ED6383">
        <w:t>04</w:t>
      </w:r>
    </w:p>
    <w:p w:rsidR="00ED6383" w:rsidRDefault="00B33BDA" w:rsidP="00B33BDA">
      <w:pPr>
        <w:tabs>
          <w:tab w:val="left" w:pos="1260"/>
        </w:tabs>
      </w:pPr>
      <w:r>
        <w:tab/>
      </w:r>
      <w:r w:rsidR="00633130">
        <w:tab/>
      </w:r>
      <w:r w:rsidR="00633130">
        <w:tab/>
      </w:r>
      <w:r w:rsidR="00C23C7E">
        <w:t xml:space="preserve">Revised </w:t>
      </w:r>
      <w:r w:rsidR="00ED6383">
        <w:t>June 16</w:t>
      </w:r>
      <w:r>
        <w:t>, 20</w:t>
      </w:r>
      <w:r w:rsidR="00ED6383">
        <w:t>12</w:t>
      </w:r>
      <w:r>
        <w:t xml:space="preserve"> </w:t>
      </w:r>
    </w:p>
    <w:p w:rsidR="000D6F25" w:rsidRDefault="00ED6383" w:rsidP="00B33BDA">
      <w:pPr>
        <w:tabs>
          <w:tab w:val="left" w:pos="1260"/>
        </w:tabs>
      </w:pPr>
      <w:r>
        <w:tab/>
      </w:r>
      <w:r>
        <w:tab/>
      </w:r>
      <w:r>
        <w:tab/>
        <w:t>Revised June 01, 2017</w:t>
      </w:r>
    </w:p>
    <w:p w:rsidR="00725F30" w:rsidRDefault="000D6F25" w:rsidP="00B33BDA">
      <w:pPr>
        <w:tabs>
          <w:tab w:val="left" w:pos="1260"/>
        </w:tabs>
      </w:pPr>
      <w:r>
        <w:tab/>
      </w:r>
      <w:r>
        <w:tab/>
      </w:r>
      <w:r>
        <w:tab/>
        <w:t xml:space="preserve">Revised April 19, 2018 </w:t>
      </w:r>
      <w:r w:rsidR="00C23C7E">
        <w:tab/>
      </w:r>
    </w:p>
    <w:p w:rsidR="009B2EEB" w:rsidRDefault="00B33BDA" w:rsidP="00B33BDA">
      <w:pPr>
        <w:tabs>
          <w:tab w:val="left" w:pos="1260"/>
        </w:tabs>
      </w:pPr>
      <w:r>
        <w:tab/>
      </w:r>
      <w:r w:rsidR="00633130">
        <w:tab/>
      </w:r>
      <w:r w:rsidR="00633130">
        <w:tab/>
      </w:r>
      <w:r w:rsidR="00C23C7E">
        <w:t>Next Scheduled Review</w:t>
      </w:r>
      <w:r w:rsidR="00E371E0">
        <w:t>: Apr</w:t>
      </w:r>
      <w:r w:rsidR="00ED6383">
        <w:t xml:space="preserve"> 1</w:t>
      </w:r>
      <w:r w:rsidR="000D6F25">
        <w:t>9</w:t>
      </w:r>
      <w:r>
        <w:t xml:space="preserve">, </w:t>
      </w:r>
      <w:r w:rsidR="00C23C7E">
        <w:t>20</w:t>
      </w:r>
      <w:r w:rsidR="00ED6383">
        <w:t>2</w:t>
      </w:r>
      <w:r w:rsidR="000D6F25">
        <w:t>3</w:t>
      </w:r>
    </w:p>
    <w:p w:rsidR="005C1903" w:rsidRDefault="005C1903" w:rsidP="00C23C7E">
      <w:pPr>
        <w:pBdr>
          <w:bottom w:val="single" w:sz="4" w:space="1" w:color="auto"/>
        </w:pBdr>
      </w:pPr>
    </w:p>
    <w:p w:rsidR="00C23C7E" w:rsidRDefault="00C23C7E"/>
    <w:p w:rsidR="00C23C7E" w:rsidRDefault="00633130">
      <w:pPr>
        <w:rPr>
          <w:b/>
          <w:sz w:val="28"/>
          <w:szCs w:val="28"/>
        </w:rPr>
      </w:pPr>
      <w:r>
        <w:rPr>
          <w:b/>
          <w:sz w:val="28"/>
          <w:szCs w:val="28"/>
        </w:rPr>
        <w:t>Procedure</w:t>
      </w:r>
      <w:r w:rsidR="00E371E0">
        <w:rPr>
          <w:b/>
          <w:sz w:val="28"/>
          <w:szCs w:val="28"/>
        </w:rPr>
        <w:t xml:space="preserve"> Statement</w:t>
      </w:r>
    </w:p>
    <w:p w:rsidR="00C23C7E" w:rsidRDefault="00C23C7E" w:rsidP="00C23C7E">
      <w:pPr>
        <w:pBdr>
          <w:bottom w:val="single" w:sz="4" w:space="1" w:color="auto"/>
        </w:pBdr>
      </w:pPr>
    </w:p>
    <w:p w:rsidR="00F20616" w:rsidRDefault="00F20616" w:rsidP="00F20616"/>
    <w:p w:rsidR="00F20616" w:rsidRPr="00934F7A" w:rsidRDefault="00F20616" w:rsidP="00F20616">
      <w:r w:rsidRPr="00934F7A">
        <w:t>Texas A&amp;M University-Kingsville (TAMUK) provides many computing and network resources for use by students, faculty, staff and other persons a</w:t>
      </w:r>
      <w:r w:rsidR="00E371E0">
        <w:t xml:space="preserve">ssociated with the University. </w:t>
      </w:r>
      <w:r w:rsidRPr="00934F7A">
        <w:t xml:space="preserve">Members of the University community are required to use </w:t>
      </w:r>
      <w:r w:rsidR="00311C92">
        <w:t>email</w:t>
      </w:r>
      <w:r w:rsidRPr="00934F7A">
        <w:t xml:space="preserve"> to facilitate the e</w:t>
      </w:r>
      <w:r w:rsidR="00311C92">
        <w:t xml:space="preserve">xchange of useful information. </w:t>
      </w:r>
      <w:r w:rsidRPr="00934F7A">
        <w:t xml:space="preserve">TAMUK </w:t>
      </w:r>
      <w:r w:rsidR="00E831F0">
        <w:t>Email</w:t>
      </w:r>
      <w:r w:rsidRPr="00934F7A">
        <w:t xml:space="preserve"> is an official form of communication between the university faculty, staff</w:t>
      </w:r>
      <w:r w:rsidR="000D6F25">
        <w:t>,</w:t>
      </w:r>
      <w:r w:rsidRPr="00934F7A">
        <w:t xml:space="preserve"> </w:t>
      </w:r>
      <w:r w:rsidR="00F76EFD">
        <w:t>and</w:t>
      </w:r>
      <w:r w:rsidR="00610458">
        <w:t xml:space="preserve"> </w:t>
      </w:r>
      <w:r w:rsidRPr="00934F7A">
        <w:t>students</w:t>
      </w:r>
      <w:r w:rsidR="00F76EFD">
        <w:t xml:space="preserve">, </w:t>
      </w:r>
      <w:r w:rsidR="00311C92">
        <w:t xml:space="preserve"> and they retain the</w:t>
      </w:r>
      <w:r w:rsidRPr="00934F7A">
        <w:t xml:space="preserve"> responsibility of check</w:t>
      </w:r>
      <w:r w:rsidR="00311C92">
        <w:t>ing their university email.</w:t>
      </w:r>
      <w:r w:rsidRPr="00934F7A">
        <w:t xml:space="preserve"> Under the provisions of the Information Resources Management Act, these </w:t>
      </w:r>
      <w:r>
        <w:t>i</w:t>
      </w:r>
      <w:r w:rsidRPr="00934F7A">
        <w:t xml:space="preserve">nformation </w:t>
      </w:r>
      <w:r>
        <w:t>r</w:t>
      </w:r>
      <w:r w:rsidRPr="00934F7A">
        <w:t>esources are strategic assets of the State of Texas that must be managed as valuable state resources.</w:t>
      </w:r>
    </w:p>
    <w:p w:rsidR="00725F30" w:rsidRDefault="00725F30" w:rsidP="00725F30">
      <w:pPr>
        <w:pBdr>
          <w:bottom w:val="single" w:sz="4" w:space="1" w:color="auto"/>
        </w:pBdr>
      </w:pPr>
    </w:p>
    <w:p w:rsidR="00725F30" w:rsidRDefault="00725F30" w:rsidP="00725F30"/>
    <w:p w:rsidR="00725F30" w:rsidRPr="00725F30" w:rsidRDefault="003E1721" w:rsidP="00725F30">
      <w:pPr>
        <w:rPr>
          <w:b/>
          <w:sz w:val="28"/>
          <w:szCs w:val="28"/>
        </w:rPr>
      </w:pPr>
      <w:r>
        <w:rPr>
          <w:b/>
          <w:sz w:val="28"/>
          <w:szCs w:val="28"/>
        </w:rPr>
        <w:t xml:space="preserve">Reason for </w:t>
      </w:r>
      <w:r w:rsidR="00633130">
        <w:rPr>
          <w:b/>
          <w:sz w:val="28"/>
          <w:szCs w:val="28"/>
        </w:rPr>
        <w:t>Procedure</w:t>
      </w:r>
    </w:p>
    <w:p w:rsidR="00725F30" w:rsidRDefault="00725F30" w:rsidP="00725F30">
      <w:pPr>
        <w:pBdr>
          <w:bottom w:val="single" w:sz="4" w:space="1" w:color="auto"/>
        </w:pBdr>
      </w:pPr>
    </w:p>
    <w:p w:rsidR="00E371E0" w:rsidRDefault="00E371E0" w:rsidP="00F20616"/>
    <w:p w:rsidR="00F20616" w:rsidRPr="00F20616" w:rsidRDefault="00F20616" w:rsidP="00F20616">
      <w:r w:rsidRPr="00934F7A">
        <w:t>The purpose</w:t>
      </w:r>
      <w:r w:rsidR="000D6F25">
        <w:t xml:space="preserve"> of</w:t>
      </w:r>
      <w:r w:rsidRPr="00934F7A">
        <w:t xml:space="preserve"> </w:t>
      </w:r>
      <w:r>
        <w:t>this</w:t>
      </w:r>
      <w:r w:rsidRPr="00934F7A">
        <w:t xml:space="preserve"> </w:t>
      </w:r>
      <w:r>
        <w:t>procedure</w:t>
      </w:r>
      <w:r w:rsidRPr="00934F7A">
        <w:t xml:space="preserve"> is to establish the rules for the use of University </w:t>
      </w:r>
      <w:r w:rsidR="000D6F25">
        <w:t>e</w:t>
      </w:r>
      <w:r w:rsidR="00E831F0">
        <w:t>mail</w:t>
      </w:r>
      <w:r w:rsidRPr="00934F7A">
        <w:t xml:space="preserve"> for the sending, receiving, or storing of </w:t>
      </w:r>
      <w:r w:rsidR="00E831F0">
        <w:t>e</w:t>
      </w:r>
      <w:r w:rsidRPr="00934F7A">
        <w:t>mail.</w:t>
      </w:r>
      <w:r>
        <w:t xml:space="preserve"> </w:t>
      </w:r>
      <w:r w:rsidRPr="00934F7A">
        <w:t>Th</w:t>
      </w:r>
      <w:r>
        <w:t xml:space="preserve">is procedure </w:t>
      </w:r>
      <w:r w:rsidRPr="00934F7A">
        <w:t xml:space="preserve">applies </w:t>
      </w:r>
      <w:r>
        <w:t>to</w:t>
      </w:r>
      <w:r w:rsidRPr="00934F7A">
        <w:t xml:space="preserve"> individuals granted access privileges to any </w:t>
      </w:r>
      <w:r>
        <w:t xml:space="preserve">TAMUK </w:t>
      </w:r>
      <w:r w:rsidRPr="00934F7A">
        <w:t>Information Resource with the capacity to send, receive, or store email.</w:t>
      </w:r>
    </w:p>
    <w:p w:rsidR="00725F30" w:rsidRDefault="00725F30" w:rsidP="00725F30">
      <w:pPr>
        <w:pBdr>
          <w:bottom w:val="single" w:sz="4" w:space="1" w:color="auto"/>
        </w:pBdr>
      </w:pPr>
    </w:p>
    <w:p w:rsidR="00725F30" w:rsidRDefault="00725F30" w:rsidP="00725F30"/>
    <w:p w:rsidR="00725F30" w:rsidRPr="00725F30" w:rsidRDefault="00725F30" w:rsidP="00725F30">
      <w:pPr>
        <w:rPr>
          <w:b/>
          <w:sz w:val="28"/>
          <w:szCs w:val="28"/>
        </w:rPr>
      </w:pPr>
      <w:r w:rsidRPr="00725F30">
        <w:rPr>
          <w:b/>
          <w:sz w:val="28"/>
          <w:szCs w:val="28"/>
        </w:rPr>
        <w:t>P</w:t>
      </w:r>
      <w:r w:rsidR="00E371E0">
        <w:rPr>
          <w:b/>
          <w:sz w:val="28"/>
          <w:szCs w:val="28"/>
        </w:rPr>
        <w:t>rocedures and Responsibilities</w:t>
      </w:r>
    </w:p>
    <w:p w:rsidR="00725F30" w:rsidRDefault="00725F30" w:rsidP="00725F30">
      <w:pPr>
        <w:pBdr>
          <w:bottom w:val="single" w:sz="4" w:space="1" w:color="auto"/>
        </w:pBdr>
      </w:pPr>
    </w:p>
    <w:p w:rsidR="00332067" w:rsidRDefault="00332067" w:rsidP="00332067"/>
    <w:p w:rsidR="00F20616" w:rsidRPr="00934F7A" w:rsidRDefault="00F20616" w:rsidP="00E371E0">
      <w:pPr>
        <w:numPr>
          <w:ilvl w:val="0"/>
          <w:numId w:val="11"/>
        </w:numPr>
      </w:pPr>
      <w:r w:rsidRPr="00934F7A">
        <w:t>The following activities are prohibited by</w:t>
      </w:r>
      <w:r w:rsidR="007B158E">
        <w:t xml:space="preserve"> this</w:t>
      </w:r>
      <w:r w:rsidRPr="00934F7A">
        <w:t xml:space="preserve"> p</w:t>
      </w:r>
      <w:r>
        <w:t>rocedure</w:t>
      </w:r>
      <w:r w:rsidRPr="00934F7A">
        <w:t>:</w:t>
      </w:r>
    </w:p>
    <w:p w:rsidR="00F20616" w:rsidRPr="00934F7A" w:rsidRDefault="00F20616" w:rsidP="00F20616">
      <w:pPr>
        <w:pStyle w:val="ListParagraph"/>
        <w:rPr>
          <w:vanish/>
        </w:rPr>
      </w:pPr>
    </w:p>
    <w:p w:rsidR="00F20616" w:rsidRPr="00934F7A" w:rsidRDefault="00F20616" w:rsidP="00F20616">
      <w:pPr>
        <w:pStyle w:val="ListParagraph"/>
        <w:rPr>
          <w:vanish/>
        </w:rPr>
      </w:pPr>
    </w:p>
    <w:p w:rsidR="00F20616" w:rsidRPr="00934F7A" w:rsidRDefault="00F20616" w:rsidP="00F20616">
      <w:pPr>
        <w:pStyle w:val="ListParagraph"/>
        <w:rPr>
          <w:vanish/>
        </w:rPr>
      </w:pPr>
    </w:p>
    <w:p w:rsidR="00F20616" w:rsidRPr="00934F7A" w:rsidRDefault="00F20616" w:rsidP="00E371E0">
      <w:pPr>
        <w:numPr>
          <w:ilvl w:val="1"/>
          <w:numId w:val="11"/>
        </w:numPr>
      </w:pPr>
      <w:r w:rsidRPr="00934F7A">
        <w:t xml:space="preserve">Sending </w:t>
      </w:r>
      <w:r w:rsidR="000D6F25">
        <w:t>e</w:t>
      </w:r>
      <w:r w:rsidR="00E831F0">
        <w:t>mail</w:t>
      </w:r>
      <w:r w:rsidRPr="00934F7A">
        <w:t xml:space="preserve"> that is intimidating, demeaning, or harassing.</w:t>
      </w:r>
    </w:p>
    <w:p w:rsidR="00F20616" w:rsidRPr="00934F7A" w:rsidRDefault="00F20616" w:rsidP="00E371E0">
      <w:pPr>
        <w:numPr>
          <w:ilvl w:val="1"/>
          <w:numId w:val="11"/>
        </w:numPr>
      </w:pPr>
      <w:r w:rsidRPr="00934F7A">
        <w:t xml:space="preserve">Using </w:t>
      </w:r>
      <w:r w:rsidR="000D6F25">
        <w:t>e</w:t>
      </w:r>
      <w:r w:rsidR="00E831F0">
        <w:t>mail</w:t>
      </w:r>
      <w:r w:rsidRPr="00934F7A">
        <w:t xml:space="preserve"> for commercial or personal financial gain.</w:t>
      </w:r>
    </w:p>
    <w:p w:rsidR="00F20616" w:rsidRPr="00934F7A" w:rsidRDefault="00F20616" w:rsidP="00E371E0">
      <w:pPr>
        <w:numPr>
          <w:ilvl w:val="1"/>
          <w:numId w:val="11"/>
        </w:numPr>
      </w:pPr>
      <w:r w:rsidRPr="00934F7A">
        <w:t xml:space="preserve">Using </w:t>
      </w:r>
      <w:r w:rsidR="000D6F25">
        <w:t>e</w:t>
      </w:r>
      <w:r w:rsidR="00E831F0">
        <w:t>mail</w:t>
      </w:r>
      <w:r w:rsidRPr="00934F7A">
        <w:t xml:space="preserve"> for political purposes such as but not limited to lobbying or campaigning.</w:t>
      </w:r>
    </w:p>
    <w:p w:rsidR="00F20616" w:rsidRPr="00934F7A" w:rsidRDefault="00F20616" w:rsidP="00E371E0">
      <w:pPr>
        <w:numPr>
          <w:ilvl w:val="1"/>
          <w:numId w:val="11"/>
        </w:numPr>
      </w:pPr>
      <w:r w:rsidRPr="00934F7A">
        <w:t>Violating copyright laws by inappropriately distributing protected works.</w:t>
      </w:r>
    </w:p>
    <w:p w:rsidR="00F20616" w:rsidRDefault="00F20616" w:rsidP="00E371E0">
      <w:pPr>
        <w:numPr>
          <w:ilvl w:val="1"/>
          <w:numId w:val="11"/>
        </w:numPr>
      </w:pPr>
      <w:r w:rsidRPr="00934F7A">
        <w:t xml:space="preserve">Posing as anyone other than oneself when sending </w:t>
      </w:r>
      <w:r w:rsidR="000D6F25">
        <w:t>e</w:t>
      </w:r>
      <w:r w:rsidR="00E831F0">
        <w:t>mail</w:t>
      </w:r>
      <w:r w:rsidR="000436D2">
        <w:t xml:space="preserve">, except when authorized to </w:t>
      </w:r>
      <w:r w:rsidRPr="00934F7A">
        <w:t>send messages for another when serving in an administrative support role.</w:t>
      </w:r>
    </w:p>
    <w:p w:rsidR="00F20616" w:rsidRDefault="00F20616" w:rsidP="00E371E0">
      <w:pPr>
        <w:numPr>
          <w:ilvl w:val="1"/>
          <w:numId w:val="11"/>
        </w:numPr>
      </w:pPr>
      <w:r w:rsidRPr="00F159CE">
        <w:t xml:space="preserve">The use of unauthorized </w:t>
      </w:r>
      <w:r w:rsidR="000D6F25">
        <w:t>e</w:t>
      </w:r>
      <w:r w:rsidR="00E831F0">
        <w:t>mail</w:t>
      </w:r>
      <w:r w:rsidRPr="00F159CE">
        <w:t xml:space="preserve"> software.</w:t>
      </w:r>
      <w:r w:rsidR="00311C92">
        <w:br/>
      </w:r>
    </w:p>
    <w:p w:rsidR="00F20616" w:rsidRPr="00934F7A" w:rsidRDefault="00F20616" w:rsidP="00E371E0">
      <w:pPr>
        <w:numPr>
          <w:ilvl w:val="0"/>
          <w:numId w:val="11"/>
        </w:numPr>
      </w:pPr>
      <w:r w:rsidRPr="00934F7A">
        <w:t xml:space="preserve">The following activities are prohibited because they impede the functioning of network communications and the efficient operations of </w:t>
      </w:r>
      <w:r w:rsidR="006768F1">
        <w:t>email</w:t>
      </w:r>
      <w:r w:rsidRPr="00934F7A">
        <w:t xml:space="preserve"> systems:</w:t>
      </w:r>
    </w:p>
    <w:p w:rsidR="00F20616" w:rsidRPr="00934F7A" w:rsidRDefault="00F20616" w:rsidP="00E371E0">
      <w:pPr>
        <w:numPr>
          <w:ilvl w:val="1"/>
          <w:numId w:val="11"/>
        </w:numPr>
      </w:pPr>
      <w:r w:rsidRPr="00934F7A">
        <w:t>Sending or forwarding chain letters.</w:t>
      </w:r>
    </w:p>
    <w:p w:rsidR="00F20616" w:rsidRPr="00934F7A" w:rsidRDefault="00F20616" w:rsidP="00E371E0">
      <w:pPr>
        <w:numPr>
          <w:ilvl w:val="1"/>
          <w:numId w:val="11"/>
        </w:numPr>
      </w:pPr>
      <w:r w:rsidRPr="00934F7A">
        <w:lastRenderedPageBreak/>
        <w:t>Sending messages to</w:t>
      </w:r>
      <w:r w:rsidR="000D6F25">
        <w:t xml:space="preserve"> </w:t>
      </w:r>
      <w:r w:rsidR="00B57650">
        <w:t xml:space="preserve">more than 100 recipients from a personal account except as required to </w:t>
      </w:r>
      <w:r w:rsidRPr="00934F7A">
        <w:t xml:space="preserve">conduct </w:t>
      </w:r>
      <w:r w:rsidR="00B57650">
        <w:t>university</w:t>
      </w:r>
      <w:r w:rsidRPr="00934F7A">
        <w:t xml:space="preserve"> business. </w:t>
      </w:r>
    </w:p>
    <w:p w:rsidR="00F20616" w:rsidRPr="00934F7A" w:rsidRDefault="00E831F0" w:rsidP="00764F58">
      <w:pPr>
        <w:numPr>
          <w:ilvl w:val="2"/>
          <w:numId w:val="11"/>
        </w:numPr>
      </w:pPr>
      <w:r>
        <w:t>Email</w:t>
      </w:r>
      <w:r w:rsidR="00F20616" w:rsidRPr="00934F7A">
        <w:t>s from systems such as</w:t>
      </w:r>
      <w:r w:rsidR="000D6F25">
        <w:t xml:space="preserve"> Banner,</w:t>
      </w:r>
      <w:r w:rsidR="00F20616" w:rsidRPr="00934F7A">
        <w:t xml:space="preserve"> Blackboard, Talisma, Luminis, Blackboard Connect,</w:t>
      </w:r>
      <w:r w:rsidR="000D6F25">
        <w:t xml:space="preserve"> and Starfish</w:t>
      </w:r>
      <w:r w:rsidR="00F20616" w:rsidRPr="00934F7A">
        <w:t xml:space="preserve"> are exempt from this limitation. </w:t>
      </w:r>
    </w:p>
    <w:p w:rsidR="00F20616" w:rsidRPr="00934F7A" w:rsidRDefault="00F20616" w:rsidP="00E371E0">
      <w:pPr>
        <w:numPr>
          <w:ilvl w:val="1"/>
          <w:numId w:val="11"/>
        </w:numPr>
      </w:pPr>
      <w:r w:rsidRPr="00934F7A">
        <w:t xml:space="preserve">Sending messages larger than </w:t>
      </w:r>
      <w:r>
        <w:t>10</w:t>
      </w:r>
      <w:r w:rsidRPr="00934F7A">
        <w:t xml:space="preserve"> </w:t>
      </w:r>
      <w:r w:rsidR="00E371E0" w:rsidRPr="00934F7A">
        <w:t>megabytes</w:t>
      </w:r>
      <w:r w:rsidRPr="00934F7A">
        <w:t xml:space="preserve"> in size. Users requiring transfer of large file</w:t>
      </w:r>
      <w:r w:rsidR="00B57650">
        <w:t>s</w:t>
      </w:r>
      <w:r w:rsidRPr="00934F7A">
        <w:t xml:space="preserve"> may use the Accellion Secure F</w:t>
      </w:r>
      <w:r w:rsidR="00026727">
        <w:t xml:space="preserve">ile </w:t>
      </w:r>
      <w:r w:rsidRPr="00934F7A">
        <w:t>T</w:t>
      </w:r>
      <w:r w:rsidR="00026727">
        <w:t>ransfer</w:t>
      </w:r>
      <w:r w:rsidRPr="00934F7A">
        <w:t xml:space="preserve"> appliance</w:t>
      </w:r>
      <w:r>
        <w:t>.</w:t>
      </w:r>
    </w:p>
    <w:p w:rsidR="00F20616" w:rsidRPr="00934F7A" w:rsidRDefault="00F20616" w:rsidP="00E371E0">
      <w:pPr>
        <w:numPr>
          <w:ilvl w:val="1"/>
          <w:numId w:val="11"/>
        </w:numPr>
      </w:pPr>
      <w:r w:rsidRPr="00934F7A">
        <w:t xml:space="preserve">Sending or forwarding </w:t>
      </w:r>
      <w:r w:rsidR="00026727">
        <w:t>e</w:t>
      </w:r>
      <w:r w:rsidR="00E831F0">
        <w:t>mail</w:t>
      </w:r>
      <w:r w:rsidRPr="00934F7A">
        <w:t xml:space="preserve"> that is likely to contain computer viruses.</w:t>
      </w:r>
      <w:r w:rsidR="00311C92">
        <w:br/>
      </w:r>
    </w:p>
    <w:p w:rsidR="00F20616" w:rsidRPr="00934F7A" w:rsidRDefault="004014FF" w:rsidP="00E371E0">
      <w:pPr>
        <w:numPr>
          <w:ilvl w:val="0"/>
          <w:numId w:val="11"/>
        </w:numPr>
      </w:pPr>
      <w:r>
        <w:t>TAMUK email is an official communication</w:t>
      </w:r>
      <w:r w:rsidR="00B57650">
        <w:t xml:space="preserve"> </w:t>
      </w:r>
      <w:r>
        <w:t xml:space="preserve">channel for University business. </w:t>
      </w:r>
      <w:r w:rsidR="00F20616" w:rsidRPr="00934F7A">
        <w:t xml:space="preserve">Users are expected to read, and shall be presumed to have received and read, all official TAMUK </w:t>
      </w:r>
      <w:r w:rsidR="00026727">
        <w:t>e</w:t>
      </w:r>
      <w:r w:rsidR="00E831F0">
        <w:t>mail</w:t>
      </w:r>
      <w:r w:rsidR="00F20616" w:rsidRPr="00934F7A">
        <w:t xml:space="preserve"> messages sent to their TAMUK </w:t>
      </w:r>
      <w:r w:rsidR="00026727">
        <w:t>e</w:t>
      </w:r>
      <w:r w:rsidR="00E831F0">
        <w:t>mail</w:t>
      </w:r>
      <w:r w:rsidR="00F20616" w:rsidRPr="00934F7A">
        <w:t xml:space="preserve"> </w:t>
      </w:r>
      <w:r w:rsidR="00026727">
        <w:t>a</w:t>
      </w:r>
      <w:r w:rsidR="00F20616" w:rsidRPr="00934F7A">
        <w:t>ccount.</w:t>
      </w:r>
      <w:r w:rsidR="00311C92">
        <w:br/>
      </w:r>
    </w:p>
    <w:p w:rsidR="004014FF" w:rsidRDefault="00F20616" w:rsidP="00E371E0">
      <w:pPr>
        <w:numPr>
          <w:ilvl w:val="0"/>
          <w:numId w:val="11"/>
        </w:numPr>
      </w:pPr>
      <w:r>
        <w:t>C</w:t>
      </w:r>
      <w:r w:rsidRPr="00934F7A">
        <w:t xml:space="preserve">onfidential or sensitive </w:t>
      </w:r>
      <w:r>
        <w:t>TAMUK</w:t>
      </w:r>
      <w:r w:rsidRPr="00934F7A">
        <w:t xml:space="preserve"> material must be </w:t>
      </w:r>
      <w:r w:rsidR="003B1A67">
        <w:t xml:space="preserve">protected from unauthorized disclosure or release. Confidential or sensitive information </w:t>
      </w:r>
      <w:r w:rsidR="004014FF">
        <w:t>must be</w:t>
      </w:r>
      <w:r w:rsidR="003B1A67">
        <w:t xml:space="preserve"> </w:t>
      </w:r>
      <w:r w:rsidRPr="00934F7A">
        <w:t>encrypted. Accellion Secure F</w:t>
      </w:r>
      <w:r w:rsidR="00026727">
        <w:t xml:space="preserve">ile </w:t>
      </w:r>
      <w:r w:rsidRPr="00934F7A">
        <w:t>T</w:t>
      </w:r>
      <w:r w:rsidR="00026727">
        <w:t xml:space="preserve">ransfer </w:t>
      </w:r>
      <w:r w:rsidRPr="00934F7A">
        <w:t xml:space="preserve"> or encryption software will be used for this purpose. </w:t>
      </w:r>
    </w:p>
    <w:p w:rsidR="00F20616" w:rsidRPr="00934F7A" w:rsidRDefault="004014FF" w:rsidP="00764F58">
      <w:pPr>
        <w:numPr>
          <w:ilvl w:val="1"/>
          <w:numId w:val="11"/>
        </w:numPr>
      </w:pPr>
      <w:r>
        <w:t>iTech has implemented ProofPoint</w:t>
      </w:r>
      <w:r w:rsidR="00B57650">
        <w:t xml:space="preserve"> to prevent sending of S</w:t>
      </w:r>
      <w:r>
        <w:t xml:space="preserve">ocial </w:t>
      </w:r>
      <w:r w:rsidR="00B57650">
        <w:t>S</w:t>
      </w:r>
      <w:r>
        <w:t xml:space="preserve">ecurity </w:t>
      </w:r>
      <w:r w:rsidR="00B57650">
        <w:t>N</w:t>
      </w:r>
      <w:r>
        <w:t xml:space="preserve">umbers and other Personally Identifiable Information. </w:t>
      </w:r>
      <w:r w:rsidR="00311C92">
        <w:br/>
      </w:r>
    </w:p>
    <w:p w:rsidR="00F20616" w:rsidRPr="00934F7A" w:rsidRDefault="00F20616" w:rsidP="00E371E0">
      <w:pPr>
        <w:numPr>
          <w:ilvl w:val="0"/>
          <w:numId w:val="11"/>
        </w:numPr>
      </w:pPr>
      <w:r w:rsidRPr="00934F7A">
        <w:t xml:space="preserve">All user activity on </w:t>
      </w:r>
      <w:r>
        <w:t>TAMUK</w:t>
      </w:r>
      <w:r w:rsidRPr="00934F7A">
        <w:t xml:space="preserve"> Information Resources assets is subject to logging, review, and disclosure.</w:t>
      </w:r>
      <w:r w:rsidR="004014FF">
        <w:t xml:space="preserve"> There should be no expectation of privacy. </w:t>
      </w:r>
      <w:r w:rsidR="00311C92">
        <w:br/>
      </w:r>
    </w:p>
    <w:p w:rsidR="00B244AC" w:rsidRDefault="00B244AC" w:rsidP="00B244AC">
      <w:pPr>
        <w:pStyle w:val="ListParagraph"/>
        <w:numPr>
          <w:ilvl w:val="0"/>
          <w:numId w:val="11"/>
        </w:numPr>
      </w:pPr>
      <w:r>
        <w:t>A specific user</w:t>
      </w:r>
      <w:r w:rsidRPr="00B244AC">
        <w:t xml:space="preserve"> may be required to retain all </w:t>
      </w:r>
      <w:r>
        <w:t>e</w:t>
      </w:r>
      <w:r w:rsidRPr="00B244AC">
        <w:t xml:space="preserve">mail to and from specific individuals as a result of pending litigation.  In addition, </w:t>
      </w:r>
      <w:r>
        <w:t>e</w:t>
      </w:r>
      <w:r w:rsidRPr="00B244AC">
        <w:t>mail to and from specific parties may be requested as part of a Freedom of Information Act request received by the University.  In either of these cases, the affected users will receive specific instructions from t</w:t>
      </w:r>
      <w:r>
        <w:t>he University’s Office of Compliance</w:t>
      </w:r>
      <w:r w:rsidRPr="00B244AC">
        <w:t xml:space="preserve">. </w:t>
      </w:r>
    </w:p>
    <w:p w:rsidR="003B1A67" w:rsidRDefault="003B1A67" w:rsidP="00764F58">
      <w:pPr>
        <w:pStyle w:val="ListParagraph"/>
        <w:ind w:left="360"/>
      </w:pPr>
    </w:p>
    <w:p w:rsidR="00B244AC" w:rsidRDefault="00B244AC" w:rsidP="00B244AC">
      <w:pPr>
        <w:pStyle w:val="ListParagraph"/>
        <w:numPr>
          <w:ilvl w:val="0"/>
          <w:numId w:val="11"/>
        </w:numPr>
      </w:pPr>
      <w:r>
        <w:t xml:space="preserve">TAMUK’s email system is Microsoft Office 365, which maintains backups and redundancy in the United States. </w:t>
      </w:r>
      <w:r w:rsidR="00B57650">
        <w:t xml:space="preserve">Microsoft’s backups are for Disaster Recovery purposes only. These do not provide the ability to recover items deleted </w:t>
      </w:r>
      <w:r w:rsidR="00984C07">
        <w:t xml:space="preserve">more than 30 days prior. </w:t>
      </w:r>
    </w:p>
    <w:p w:rsidR="003B1A67" w:rsidRDefault="003B1A67" w:rsidP="00764F58">
      <w:pPr>
        <w:pStyle w:val="ListParagraph"/>
      </w:pPr>
    </w:p>
    <w:p w:rsidR="003B1A67" w:rsidRPr="00B244AC" w:rsidRDefault="003B1A67" w:rsidP="00B244AC">
      <w:pPr>
        <w:pStyle w:val="ListParagraph"/>
        <w:numPr>
          <w:ilvl w:val="0"/>
          <w:numId w:val="11"/>
        </w:numPr>
      </w:pPr>
      <w:r>
        <w:t xml:space="preserve">Departmental shared email mailbox may be requested through a HelpDesk ticket. </w:t>
      </w:r>
    </w:p>
    <w:p w:rsidR="00B244AC" w:rsidRDefault="00B244AC" w:rsidP="00764F58">
      <w:pPr>
        <w:ind w:left="360"/>
      </w:pPr>
    </w:p>
    <w:p w:rsidR="00F20616" w:rsidRPr="00934F7A" w:rsidRDefault="006768F1" w:rsidP="00E371E0">
      <w:pPr>
        <w:numPr>
          <w:ilvl w:val="0"/>
          <w:numId w:val="11"/>
        </w:numPr>
      </w:pPr>
      <w:r>
        <w:t>Email</w:t>
      </w:r>
      <w:r w:rsidR="00F20616" w:rsidRPr="00934F7A">
        <w:t xml:space="preserve"> users must not give the impression that they are representing, giving opinions, or otherwise making statements on behalf of </w:t>
      </w:r>
      <w:r w:rsidR="00F20616">
        <w:t>TAMUK</w:t>
      </w:r>
      <w:r w:rsidR="00F20616" w:rsidRPr="00934F7A">
        <w:t xml:space="preserve"> or any unit of the University unless appropriately authorized to do so. Where appropriate, an explicit disclaimer will be included unless it is clear from the context that the author is not representing the University. An example of a simple disclaimer is: "the opinions expressed are my own, and not necessarily those of my employer."</w:t>
      </w:r>
      <w:r w:rsidR="00311C92">
        <w:br/>
      </w:r>
    </w:p>
    <w:p w:rsidR="00F20616" w:rsidRPr="00934F7A" w:rsidRDefault="00F20616" w:rsidP="00E371E0">
      <w:pPr>
        <w:numPr>
          <w:ilvl w:val="0"/>
          <w:numId w:val="11"/>
        </w:numPr>
      </w:pPr>
      <w:r w:rsidRPr="00934F7A">
        <w:t xml:space="preserve">University </w:t>
      </w:r>
      <w:r w:rsidR="00E831F0">
        <w:t>Email</w:t>
      </w:r>
      <w:r w:rsidRPr="00934F7A">
        <w:t xml:space="preserve"> for occasional personal use is acceptable provided it doe</w:t>
      </w:r>
      <w:r>
        <w:t>s not</w:t>
      </w:r>
      <w:r w:rsidRPr="00934F7A">
        <w:t xml:space="preserve"> interfere with</w:t>
      </w:r>
      <w:r w:rsidR="00311C92">
        <w:t xml:space="preserve"> official business/operations.</w:t>
      </w:r>
      <w:r w:rsidR="00311C92">
        <w:br/>
      </w:r>
    </w:p>
    <w:p w:rsidR="00F20616" w:rsidRPr="00934F7A" w:rsidRDefault="00F20616" w:rsidP="00E371E0">
      <w:pPr>
        <w:numPr>
          <w:ilvl w:val="0"/>
          <w:numId w:val="11"/>
        </w:numPr>
      </w:pPr>
      <w:r w:rsidRPr="00934F7A">
        <w:t>Violations of this p</w:t>
      </w:r>
      <w:r>
        <w:t>rocedure</w:t>
      </w:r>
      <w:r w:rsidRPr="00934F7A">
        <w:t xml:space="preserve"> must be reported to the I</w:t>
      </w:r>
      <w:r>
        <w:t xml:space="preserve">nformation </w:t>
      </w:r>
      <w:r w:rsidRPr="00934F7A">
        <w:t>S</w:t>
      </w:r>
      <w:r>
        <w:t xml:space="preserve">ecurity </w:t>
      </w:r>
      <w:r w:rsidRPr="00934F7A">
        <w:t>O</w:t>
      </w:r>
      <w:r>
        <w:t>fficer</w:t>
      </w:r>
      <w:r w:rsidRPr="00934F7A">
        <w:t>.</w:t>
      </w:r>
    </w:p>
    <w:p w:rsidR="00FC7AC5" w:rsidRDefault="00FC7AC5" w:rsidP="00FC7AC5">
      <w:pPr>
        <w:pBdr>
          <w:bottom w:val="single" w:sz="4" w:space="1" w:color="auto"/>
        </w:pBdr>
      </w:pPr>
    </w:p>
    <w:p w:rsidR="00FC7AC5" w:rsidRDefault="00FC7AC5" w:rsidP="00FC7AC5"/>
    <w:p w:rsidR="00FC7AC5" w:rsidRPr="00FC7AC5" w:rsidRDefault="00FC7AC5" w:rsidP="00FC7AC5">
      <w:pPr>
        <w:rPr>
          <w:b/>
          <w:sz w:val="28"/>
          <w:szCs w:val="28"/>
        </w:rPr>
      </w:pPr>
      <w:r w:rsidRPr="00FC7AC5">
        <w:rPr>
          <w:b/>
          <w:sz w:val="28"/>
          <w:szCs w:val="28"/>
        </w:rPr>
        <w:t xml:space="preserve">Related Statutes, Policies, </w:t>
      </w:r>
      <w:r w:rsidR="00633130">
        <w:rPr>
          <w:b/>
          <w:sz w:val="28"/>
          <w:szCs w:val="28"/>
        </w:rPr>
        <w:t xml:space="preserve">Rules </w:t>
      </w:r>
      <w:r w:rsidRPr="00FC7AC5">
        <w:rPr>
          <w:b/>
          <w:sz w:val="28"/>
          <w:szCs w:val="28"/>
        </w:rPr>
        <w:t>or Requirements</w:t>
      </w:r>
    </w:p>
    <w:p w:rsidR="00FC7AC5" w:rsidRDefault="00FC7AC5" w:rsidP="00FC7AC5">
      <w:pPr>
        <w:pBdr>
          <w:bottom w:val="single" w:sz="4" w:space="1" w:color="auto"/>
        </w:pBdr>
      </w:pPr>
    </w:p>
    <w:p w:rsidR="00332067" w:rsidRDefault="00332067" w:rsidP="00332067"/>
    <w:p w:rsidR="007B158E" w:rsidRDefault="00144694" w:rsidP="007B158E">
      <w:pPr>
        <w:numPr>
          <w:ilvl w:val="0"/>
          <w:numId w:val="5"/>
        </w:numPr>
      </w:pPr>
      <w:hyperlink r:id="rId8" w:history="1">
        <w:r w:rsidR="007B158E" w:rsidRPr="007B158E">
          <w:rPr>
            <w:rStyle w:val="Hyperlink"/>
          </w:rPr>
          <w:t>Information Resources Management Act</w:t>
        </w:r>
      </w:hyperlink>
    </w:p>
    <w:p w:rsidR="000436D2" w:rsidRPr="000436D2" w:rsidRDefault="000436D2" w:rsidP="000436D2">
      <w:pPr>
        <w:pBdr>
          <w:bottom w:val="single" w:sz="6" w:space="1" w:color="auto"/>
        </w:pBdr>
        <w:rPr>
          <w:b/>
        </w:rPr>
      </w:pPr>
    </w:p>
    <w:p w:rsidR="000436D2" w:rsidRPr="000436D2" w:rsidRDefault="000436D2" w:rsidP="000436D2">
      <w:pPr>
        <w:rPr>
          <w:b/>
        </w:rPr>
      </w:pPr>
    </w:p>
    <w:p w:rsidR="000436D2" w:rsidRPr="000436D2" w:rsidRDefault="000436D2" w:rsidP="000436D2">
      <w:pPr>
        <w:rPr>
          <w:b/>
          <w:sz w:val="28"/>
          <w:szCs w:val="28"/>
        </w:rPr>
      </w:pPr>
      <w:r w:rsidRPr="000436D2">
        <w:rPr>
          <w:b/>
          <w:sz w:val="28"/>
          <w:szCs w:val="28"/>
        </w:rPr>
        <w:t>Disciplinary Actions</w:t>
      </w:r>
    </w:p>
    <w:p w:rsidR="000436D2" w:rsidRPr="000436D2" w:rsidRDefault="000436D2" w:rsidP="000436D2">
      <w:pPr>
        <w:pBdr>
          <w:bottom w:val="single" w:sz="6" w:space="1" w:color="auto"/>
        </w:pBdr>
        <w:rPr>
          <w:b/>
        </w:rPr>
      </w:pPr>
    </w:p>
    <w:p w:rsidR="000436D2" w:rsidRPr="000436D2" w:rsidRDefault="000436D2" w:rsidP="000436D2">
      <w:pPr>
        <w:rPr>
          <w:b/>
        </w:rPr>
      </w:pPr>
    </w:p>
    <w:p w:rsidR="000436D2" w:rsidRDefault="000436D2" w:rsidP="000436D2">
      <w:r>
        <w:t>Violation of this procedure</w:t>
      </w:r>
      <w:r w:rsidRPr="00884CBB">
        <w:t xml:space="preserve"> may result in disciplinary action up to and including termination for employees and temporaries; a termination of </w:t>
      </w:r>
      <w:r>
        <w:t>business</w:t>
      </w:r>
      <w:r w:rsidRPr="00884CBB">
        <w:t xml:space="preserve"> relations in the case of contractors or consultants; dismissal for interns and volunteers; or suspension or expulsion in the case of a student. Additionally, individuals are subject to loss of </w:t>
      </w:r>
      <w:r>
        <w:t xml:space="preserve">TAMUK </w:t>
      </w:r>
      <w:r w:rsidRPr="00884CBB">
        <w:t xml:space="preserve">Information Resources access privileges, </w:t>
      </w:r>
      <w:r>
        <w:t>civil and criminal prosecution.</w:t>
      </w:r>
    </w:p>
    <w:p w:rsidR="007B158E" w:rsidRDefault="007B158E" w:rsidP="007B158E">
      <w:pPr>
        <w:pBdr>
          <w:bottom w:val="single" w:sz="6" w:space="1" w:color="auto"/>
        </w:pBdr>
      </w:pPr>
    </w:p>
    <w:p w:rsidR="006D7041" w:rsidRDefault="007B158E" w:rsidP="007B158E">
      <w:r>
        <w:t xml:space="preserve"> </w:t>
      </w:r>
    </w:p>
    <w:p w:rsidR="00311C92" w:rsidRDefault="00311C92" w:rsidP="003E6FD4">
      <w:pPr>
        <w:rPr>
          <w:b/>
          <w:sz w:val="28"/>
          <w:szCs w:val="28"/>
        </w:rPr>
      </w:pPr>
    </w:p>
    <w:p w:rsidR="003E6FD4" w:rsidRPr="003E6FD4" w:rsidRDefault="00E371E0" w:rsidP="003E6FD4">
      <w:pPr>
        <w:rPr>
          <w:b/>
          <w:sz w:val="28"/>
          <w:szCs w:val="28"/>
        </w:rPr>
      </w:pPr>
      <w:r>
        <w:rPr>
          <w:b/>
          <w:sz w:val="28"/>
          <w:szCs w:val="28"/>
        </w:rPr>
        <w:t>Appendix</w:t>
      </w:r>
    </w:p>
    <w:p w:rsidR="003E6FD4" w:rsidRDefault="003E6FD4" w:rsidP="003E6FD4">
      <w:pPr>
        <w:pBdr>
          <w:bottom w:val="single" w:sz="4" w:space="1" w:color="auto"/>
        </w:pBdr>
      </w:pPr>
    </w:p>
    <w:p w:rsidR="00332067" w:rsidRDefault="00332067" w:rsidP="00332067"/>
    <w:p w:rsidR="00A22A0F" w:rsidRDefault="00A22A0F" w:rsidP="00A22A0F">
      <w:pPr>
        <w:numPr>
          <w:ilvl w:val="0"/>
          <w:numId w:val="12"/>
        </w:numPr>
        <w:tabs>
          <w:tab w:val="left" w:pos="360"/>
        </w:tabs>
        <w:spacing w:before="120"/>
      </w:pPr>
      <w:r>
        <w:t>Copyright Act of 1976</w:t>
      </w:r>
    </w:p>
    <w:p w:rsidR="00A22A0F" w:rsidRDefault="00A22A0F" w:rsidP="00A22A0F">
      <w:pPr>
        <w:numPr>
          <w:ilvl w:val="0"/>
          <w:numId w:val="12"/>
        </w:numPr>
        <w:tabs>
          <w:tab w:val="left" w:pos="360"/>
        </w:tabs>
      </w:pPr>
      <w:r>
        <w:t>Computer Fraud and Abuse Act of 1986</w:t>
      </w:r>
    </w:p>
    <w:p w:rsidR="00A22A0F" w:rsidRDefault="00144694" w:rsidP="00A22A0F">
      <w:pPr>
        <w:numPr>
          <w:ilvl w:val="0"/>
          <w:numId w:val="12"/>
        </w:numPr>
        <w:tabs>
          <w:tab w:val="left" w:pos="360"/>
        </w:tabs>
      </w:pPr>
      <w:hyperlink r:id="rId9" w:history="1">
        <w:r w:rsidR="00A22A0F" w:rsidRPr="001C2AA8">
          <w:rPr>
            <w:rStyle w:val="Hyperlink"/>
          </w:rPr>
          <w:t>Computer Security Act of 1987</w:t>
        </w:r>
      </w:hyperlink>
    </w:p>
    <w:p w:rsidR="00A22A0F" w:rsidRDefault="00144694" w:rsidP="00A22A0F">
      <w:pPr>
        <w:numPr>
          <w:ilvl w:val="0"/>
          <w:numId w:val="12"/>
        </w:numPr>
        <w:tabs>
          <w:tab w:val="left" w:pos="360"/>
        </w:tabs>
      </w:pPr>
      <w:hyperlink r:id="rId10" w:history="1">
        <w:r w:rsidR="00A22A0F" w:rsidRPr="00582320">
          <w:rPr>
            <w:rStyle w:val="Hyperlink"/>
          </w:rPr>
          <w:t>Foreign Corrupt Practices Act of 1977</w:t>
        </w:r>
      </w:hyperlink>
    </w:p>
    <w:p w:rsidR="00A22A0F" w:rsidRDefault="00144694" w:rsidP="00A22A0F">
      <w:pPr>
        <w:numPr>
          <w:ilvl w:val="0"/>
          <w:numId w:val="12"/>
        </w:numPr>
        <w:tabs>
          <w:tab w:val="left" w:pos="360"/>
        </w:tabs>
      </w:pPr>
      <w:hyperlink r:id="rId11" w:history="1">
        <w:r w:rsidR="00A22A0F" w:rsidRPr="00582320">
          <w:rPr>
            <w:rStyle w:val="Hyperlink"/>
          </w:rPr>
          <w:t>IRM Act, 2054.075(b)</w:t>
        </w:r>
      </w:hyperlink>
    </w:p>
    <w:p w:rsidR="00A22A0F" w:rsidRDefault="00144694" w:rsidP="00A22A0F">
      <w:pPr>
        <w:numPr>
          <w:ilvl w:val="0"/>
          <w:numId w:val="12"/>
        </w:numPr>
        <w:tabs>
          <w:tab w:val="left" w:pos="360"/>
        </w:tabs>
      </w:pPr>
      <w:hyperlink r:id="rId12" w:history="1">
        <w:r w:rsidR="00A22A0F" w:rsidRPr="00582320">
          <w:rPr>
            <w:rStyle w:val="Hyperlink"/>
          </w:rPr>
          <w:t>The State of Texas Information Act</w:t>
        </w:r>
      </w:hyperlink>
    </w:p>
    <w:p w:rsidR="00A22A0F" w:rsidRDefault="00144694" w:rsidP="00A22A0F">
      <w:pPr>
        <w:numPr>
          <w:ilvl w:val="0"/>
          <w:numId w:val="12"/>
        </w:numPr>
        <w:tabs>
          <w:tab w:val="left" w:pos="360"/>
        </w:tabs>
      </w:pPr>
      <w:hyperlink r:id="rId13" w:history="1">
        <w:r w:rsidR="00A22A0F" w:rsidRPr="00582320">
          <w:rPr>
            <w:rStyle w:val="Hyperlink"/>
          </w:rPr>
          <w:t>The State of Texas Penal Code, Chapters 33 and 33A</w:t>
        </w:r>
      </w:hyperlink>
    </w:p>
    <w:p w:rsidR="00A22A0F" w:rsidRDefault="00144694" w:rsidP="00A22A0F">
      <w:pPr>
        <w:numPr>
          <w:ilvl w:val="0"/>
          <w:numId w:val="12"/>
        </w:numPr>
        <w:tabs>
          <w:tab w:val="left" w:pos="360"/>
        </w:tabs>
      </w:pPr>
      <w:hyperlink r:id="rId14" w:history="1">
        <w:r w:rsidR="00A22A0F" w:rsidRPr="00582320">
          <w:rPr>
            <w:rStyle w:val="Hyperlink"/>
          </w:rPr>
          <w:t>Texas Administrative Code, Chapter 202</w:t>
        </w:r>
      </w:hyperlink>
    </w:p>
    <w:p w:rsidR="00A22A0F" w:rsidRDefault="00A22A0F" w:rsidP="00A22A0F">
      <w:pPr>
        <w:numPr>
          <w:ilvl w:val="0"/>
          <w:numId w:val="12"/>
        </w:numPr>
        <w:tabs>
          <w:tab w:val="left" w:pos="360"/>
        </w:tabs>
      </w:pPr>
      <w:r>
        <w:t>Texas A&amp;M University-Kingsville Procedure 29.01.03.K1.010</w:t>
      </w:r>
    </w:p>
    <w:p w:rsidR="00A22A0F" w:rsidRDefault="00A22A0F" w:rsidP="00A22A0F">
      <w:pPr>
        <w:numPr>
          <w:ilvl w:val="0"/>
          <w:numId w:val="12"/>
        </w:numPr>
        <w:tabs>
          <w:tab w:val="left" w:pos="360"/>
        </w:tabs>
      </w:pPr>
      <w:r>
        <w:t>Texas A&amp;M University-Kingsville Procedure 29.01.04.K1.010</w:t>
      </w:r>
    </w:p>
    <w:p w:rsidR="00A22A0F" w:rsidRDefault="00144694" w:rsidP="00A22A0F">
      <w:pPr>
        <w:numPr>
          <w:ilvl w:val="0"/>
          <w:numId w:val="12"/>
        </w:numPr>
        <w:tabs>
          <w:tab w:val="left" w:pos="360"/>
        </w:tabs>
      </w:pPr>
      <w:hyperlink r:id="rId15" w:history="1">
        <w:r w:rsidR="00A22A0F" w:rsidRPr="00582320">
          <w:rPr>
            <w:rStyle w:val="Hyperlink"/>
          </w:rPr>
          <w:t>Texas Government Code, Section 441</w:t>
        </w:r>
      </w:hyperlink>
    </w:p>
    <w:p w:rsidR="003E6FD4" w:rsidRDefault="003E6FD4" w:rsidP="003E6FD4">
      <w:pPr>
        <w:pBdr>
          <w:bottom w:val="single" w:sz="4" w:space="1" w:color="auto"/>
        </w:pBdr>
      </w:pPr>
    </w:p>
    <w:p w:rsidR="003E6FD4" w:rsidRDefault="003E6FD4" w:rsidP="003E6FD4"/>
    <w:p w:rsidR="003E6FD4" w:rsidRPr="003E6FD4" w:rsidRDefault="003E6FD4" w:rsidP="003E6FD4">
      <w:pPr>
        <w:rPr>
          <w:b/>
          <w:sz w:val="28"/>
          <w:szCs w:val="28"/>
        </w:rPr>
      </w:pPr>
      <w:r w:rsidRPr="003E6FD4">
        <w:rPr>
          <w:b/>
          <w:sz w:val="28"/>
          <w:szCs w:val="28"/>
        </w:rPr>
        <w:t xml:space="preserve">Contact Office </w:t>
      </w:r>
    </w:p>
    <w:p w:rsidR="00A30EC0" w:rsidRDefault="00A30EC0" w:rsidP="005219D4">
      <w:pPr>
        <w:pBdr>
          <w:bottom w:val="single" w:sz="6" w:space="1" w:color="auto"/>
        </w:pBdr>
        <w:rPr>
          <w:color w:val="000000"/>
        </w:rPr>
      </w:pPr>
    </w:p>
    <w:p w:rsidR="005219D4" w:rsidRDefault="005219D4" w:rsidP="005219D4">
      <w:pPr>
        <w:rPr>
          <w:color w:val="000000"/>
        </w:rPr>
      </w:pPr>
    </w:p>
    <w:p w:rsidR="005219D4" w:rsidRDefault="005219D4" w:rsidP="005219D4">
      <w:r>
        <w:t>For More Information, Contact: iTech</w:t>
      </w:r>
    </w:p>
    <w:p w:rsidR="005219D4" w:rsidRDefault="005219D4" w:rsidP="005219D4">
      <w:r>
        <w:t>MSC, 700 University Blvd., Kingsville, TX 78363-8202</w:t>
      </w:r>
    </w:p>
    <w:p w:rsidR="005219D4" w:rsidRPr="003E6FD4" w:rsidRDefault="005219D4" w:rsidP="005219D4">
      <w:r>
        <w:t>Contact Phone: 361-593-2404</w:t>
      </w:r>
    </w:p>
    <w:sectPr w:rsidR="005219D4" w:rsidRPr="003E6FD4" w:rsidSect="00332067">
      <w:headerReference w:type="even" r:id="rId16"/>
      <w:headerReference w:type="default" r:id="rId17"/>
      <w:footerReference w:type="even" r:id="rId18"/>
      <w:footerReference w:type="default" r:id="rId19"/>
      <w:headerReference w:type="first" r:id="rId20"/>
      <w:footerReference w:type="first" r:id="rId21"/>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94" w:rsidRDefault="00144694">
      <w:r>
        <w:separator/>
      </w:r>
    </w:p>
  </w:endnote>
  <w:endnote w:type="continuationSeparator" w:id="0">
    <w:p w:rsidR="00144694" w:rsidRDefault="0014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D0E" w:rsidRDefault="00033D0E" w:rsidP="00E63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3D0E" w:rsidRDefault="00033D0E" w:rsidP="00FE7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E1" w:rsidRPr="00FC55E1" w:rsidRDefault="00F20616" w:rsidP="00FC55E1">
    <w:pPr>
      <w:pStyle w:val="Footer"/>
      <w:tabs>
        <w:tab w:val="clear" w:pos="8640"/>
        <w:tab w:val="right" w:pos="9360"/>
      </w:tabs>
      <w:rPr>
        <w:sz w:val="20"/>
        <w:szCs w:val="20"/>
      </w:rPr>
    </w:pPr>
    <w:r w:rsidRPr="00F20616">
      <w:rPr>
        <w:i/>
        <w:noProof/>
        <w:sz w:val="20"/>
        <w:szCs w:val="20"/>
      </w:rPr>
      <w:t>29.01.99.K1.060</w:t>
    </w:r>
    <w:r w:rsidRPr="00F20616">
      <w:rPr>
        <w:i/>
        <w:sz w:val="20"/>
        <w:szCs w:val="20"/>
      </w:rPr>
      <w:t xml:space="preserve">    </w:t>
    </w:r>
    <w:r w:rsidR="00E831F0">
      <w:rPr>
        <w:i/>
        <w:sz w:val="20"/>
        <w:szCs w:val="20"/>
      </w:rPr>
      <w:t>Email</w:t>
    </w:r>
    <w:r w:rsidRPr="00F20616">
      <w:rPr>
        <w:i/>
        <w:sz w:val="20"/>
        <w:szCs w:val="20"/>
      </w:rPr>
      <w:t xml:space="preserve"> Procedure</w:t>
    </w:r>
    <w:r w:rsidR="00FC55E1" w:rsidRPr="00FC55E1">
      <w:rPr>
        <w:sz w:val="20"/>
        <w:szCs w:val="20"/>
      </w:rPr>
      <w:tab/>
    </w:r>
    <w:r w:rsidR="00FC55E1" w:rsidRPr="00FC55E1">
      <w:rPr>
        <w:sz w:val="20"/>
        <w:szCs w:val="20"/>
      </w:rPr>
      <w:tab/>
      <w:t xml:space="preserve">Page </w:t>
    </w:r>
    <w:r w:rsidR="00FC55E1" w:rsidRPr="00FC55E1">
      <w:rPr>
        <w:sz w:val="20"/>
        <w:szCs w:val="20"/>
      </w:rPr>
      <w:fldChar w:fldCharType="begin"/>
    </w:r>
    <w:r w:rsidR="00FC55E1" w:rsidRPr="00FC55E1">
      <w:rPr>
        <w:sz w:val="20"/>
        <w:szCs w:val="20"/>
      </w:rPr>
      <w:instrText xml:space="preserve"> PAGE </w:instrText>
    </w:r>
    <w:r w:rsidR="00FC55E1" w:rsidRPr="00FC55E1">
      <w:rPr>
        <w:sz w:val="20"/>
        <w:szCs w:val="20"/>
      </w:rPr>
      <w:fldChar w:fldCharType="separate"/>
    </w:r>
    <w:r w:rsidR="0072290B">
      <w:rPr>
        <w:noProof/>
        <w:sz w:val="20"/>
        <w:szCs w:val="20"/>
      </w:rPr>
      <w:t>1</w:t>
    </w:r>
    <w:r w:rsidR="00FC55E1" w:rsidRPr="00FC55E1">
      <w:rPr>
        <w:sz w:val="20"/>
        <w:szCs w:val="20"/>
      </w:rPr>
      <w:fldChar w:fldCharType="end"/>
    </w:r>
    <w:r w:rsidR="00FC55E1" w:rsidRPr="00FC55E1">
      <w:rPr>
        <w:sz w:val="20"/>
        <w:szCs w:val="20"/>
      </w:rPr>
      <w:t xml:space="preserve"> of </w:t>
    </w:r>
    <w:r w:rsidR="00FC55E1" w:rsidRPr="00FC55E1">
      <w:rPr>
        <w:sz w:val="20"/>
        <w:szCs w:val="20"/>
      </w:rPr>
      <w:fldChar w:fldCharType="begin"/>
    </w:r>
    <w:r w:rsidR="00FC55E1" w:rsidRPr="00FC55E1">
      <w:rPr>
        <w:sz w:val="20"/>
        <w:szCs w:val="20"/>
      </w:rPr>
      <w:instrText xml:space="preserve"> NUMPAGES  </w:instrText>
    </w:r>
    <w:r w:rsidR="00FC55E1" w:rsidRPr="00FC55E1">
      <w:rPr>
        <w:sz w:val="20"/>
        <w:szCs w:val="20"/>
      </w:rPr>
      <w:fldChar w:fldCharType="separate"/>
    </w:r>
    <w:r w:rsidR="0072290B">
      <w:rPr>
        <w:noProof/>
        <w:sz w:val="20"/>
        <w:szCs w:val="20"/>
      </w:rPr>
      <w:t>3</w:t>
    </w:r>
    <w:r w:rsidR="00FC55E1" w:rsidRPr="00FC55E1">
      <w:rPr>
        <w:sz w:val="20"/>
        <w:szCs w:val="20"/>
      </w:rPr>
      <w:fldChar w:fldCharType="end"/>
    </w:r>
  </w:p>
  <w:p w:rsidR="00033D0E" w:rsidRDefault="00033D0E" w:rsidP="00FE77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16" w:rsidRDefault="00F2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94" w:rsidRDefault="00144694">
      <w:r>
        <w:separator/>
      </w:r>
    </w:p>
  </w:footnote>
  <w:footnote w:type="continuationSeparator" w:id="0">
    <w:p w:rsidR="00144694" w:rsidRDefault="0014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16" w:rsidRDefault="00F20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16" w:rsidRDefault="00F20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16" w:rsidRDefault="00F2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4AF"/>
    <w:multiLevelType w:val="hybridMultilevel"/>
    <w:tmpl w:val="D0D07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03504"/>
    <w:multiLevelType w:val="hybridMultilevel"/>
    <w:tmpl w:val="493E3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02578"/>
    <w:multiLevelType w:val="hybridMultilevel"/>
    <w:tmpl w:val="6B66A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46706"/>
    <w:multiLevelType w:val="hybridMultilevel"/>
    <w:tmpl w:val="34389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0372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12126B"/>
    <w:multiLevelType w:val="multilevel"/>
    <w:tmpl w:val="3E84CFEC"/>
    <w:lvl w:ilvl="0">
      <w:start w:val="1"/>
      <w:numFmt w:val="decimal"/>
      <w:lvlText w:val="%1."/>
      <w:lvlJc w:val="left"/>
      <w:pPr>
        <w:ind w:left="1080" w:hanging="360"/>
      </w:pPr>
      <w:rPr>
        <w:rFonts w:hint="default"/>
      </w:rPr>
    </w:lvl>
    <w:lvl w:ilvl="1">
      <w:start w:val="1"/>
      <w:numFmt w:val="decimal"/>
      <w:isLgl/>
      <w:lvlText w:val="%1.%2"/>
      <w:lvlJc w:val="left"/>
      <w:pPr>
        <w:ind w:left="1395" w:hanging="40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514935C2"/>
    <w:multiLevelType w:val="hybridMultilevel"/>
    <w:tmpl w:val="0BB0D4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03E0220"/>
    <w:multiLevelType w:val="hybridMultilevel"/>
    <w:tmpl w:val="673AB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A1021E"/>
    <w:multiLevelType w:val="hybridMultilevel"/>
    <w:tmpl w:val="C78A6F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8E28B2"/>
    <w:multiLevelType w:val="multilevel"/>
    <w:tmpl w:val="6AF6C9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D3315"/>
    <w:multiLevelType w:val="hybridMultilevel"/>
    <w:tmpl w:val="DB34E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5B0332"/>
    <w:multiLevelType w:val="hybridMultilevel"/>
    <w:tmpl w:val="6AF6C9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0"/>
  </w:num>
  <w:num w:numId="5">
    <w:abstractNumId w:val="2"/>
  </w:num>
  <w:num w:numId="6">
    <w:abstractNumId w:val="7"/>
  </w:num>
  <w:num w:numId="7">
    <w:abstractNumId w:val="5"/>
  </w:num>
  <w:num w:numId="8">
    <w:abstractNumId w:val="1"/>
  </w:num>
  <w:num w:numId="9">
    <w:abstractNumId w:val="3"/>
  </w:num>
  <w:num w:numId="10">
    <w:abstractNumId w:val="8"/>
  </w:num>
  <w:num w:numId="11">
    <w:abstractNumId w:val="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7E"/>
    <w:rsid w:val="00022D45"/>
    <w:rsid w:val="00026727"/>
    <w:rsid w:val="00033D0E"/>
    <w:rsid w:val="000436D2"/>
    <w:rsid w:val="00043B9D"/>
    <w:rsid w:val="0006789A"/>
    <w:rsid w:val="000A6BE7"/>
    <w:rsid w:val="000D3A96"/>
    <w:rsid w:val="000D6F25"/>
    <w:rsid w:val="001050E1"/>
    <w:rsid w:val="00144694"/>
    <w:rsid w:val="00173189"/>
    <w:rsid w:val="00245C0C"/>
    <w:rsid w:val="0025714A"/>
    <w:rsid w:val="002E539C"/>
    <w:rsid w:val="00311C92"/>
    <w:rsid w:val="00332067"/>
    <w:rsid w:val="003B1A67"/>
    <w:rsid w:val="003E1721"/>
    <w:rsid w:val="003E6FD4"/>
    <w:rsid w:val="004014FF"/>
    <w:rsid w:val="00422885"/>
    <w:rsid w:val="004471A3"/>
    <w:rsid w:val="00463CC1"/>
    <w:rsid w:val="00483502"/>
    <w:rsid w:val="005219D4"/>
    <w:rsid w:val="005A3AA6"/>
    <w:rsid w:val="005B415A"/>
    <w:rsid w:val="005C1903"/>
    <w:rsid w:val="005C1DDE"/>
    <w:rsid w:val="005E31E5"/>
    <w:rsid w:val="00610458"/>
    <w:rsid w:val="00633130"/>
    <w:rsid w:val="006768F1"/>
    <w:rsid w:val="00681040"/>
    <w:rsid w:val="00682D1F"/>
    <w:rsid w:val="006D7041"/>
    <w:rsid w:val="0072290B"/>
    <w:rsid w:val="00725F30"/>
    <w:rsid w:val="00764F58"/>
    <w:rsid w:val="007B158E"/>
    <w:rsid w:val="00956A0B"/>
    <w:rsid w:val="00984C07"/>
    <w:rsid w:val="009A49CB"/>
    <w:rsid w:val="009B2EEB"/>
    <w:rsid w:val="00A20508"/>
    <w:rsid w:val="00A22A0F"/>
    <w:rsid w:val="00A30EC0"/>
    <w:rsid w:val="00A97039"/>
    <w:rsid w:val="00AB177E"/>
    <w:rsid w:val="00B056C4"/>
    <w:rsid w:val="00B07736"/>
    <w:rsid w:val="00B244AC"/>
    <w:rsid w:val="00B33BDA"/>
    <w:rsid w:val="00B57650"/>
    <w:rsid w:val="00B73E90"/>
    <w:rsid w:val="00BA097D"/>
    <w:rsid w:val="00C23C7E"/>
    <w:rsid w:val="00C66D5D"/>
    <w:rsid w:val="00C717C1"/>
    <w:rsid w:val="00CA50D7"/>
    <w:rsid w:val="00D04B2D"/>
    <w:rsid w:val="00D404BF"/>
    <w:rsid w:val="00D640D7"/>
    <w:rsid w:val="00E371E0"/>
    <w:rsid w:val="00E638BF"/>
    <w:rsid w:val="00E831F0"/>
    <w:rsid w:val="00ED6383"/>
    <w:rsid w:val="00F20616"/>
    <w:rsid w:val="00F36E89"/>
    <w:rsid w:val="00F76EFD"/>
    <w:rsid w:val="00FC55E1"/>
    <w:rsid w:val="00FC7AC5"/>
    <w:rsid w:val="00FD223F"/>
    <w:rsid w:val="00FD4DC3"/>
    <w:rsid w:val="00FE77DD"/>
    <w:rsid w:val="00FF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06E9A-3311-4E68-A695-9F42EA06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77DD"/>
    <w:pPr>
      <w:tabs>
        <w:tab w:val="center" w:pos="4320"/>
        <w:tab w:val="right" w:pos="8640"/>
      </w:tabs>
    </w:pPr>
  </w:style>
  <w:style w:type="character" w:styleId="PageNumber">
    <w:name w:val="page number"/>
    <w:basedOn w:val="DefaultParagraphFont"/>
    <w:rsid w:val="00FE77DD"/>
  </w:style>
  <w:style w:type="paragraph" w:styleId="Header">
    <w:name w:val="header"/>
    <w:basedOn w:val="Normal"/>
    <w:link w:val="HeaderChar"/>
    <w:rsid w:val="00FC55E1"/>
    <w:pPr>
      <w:tabs>
        <w:tab w:val="center" w:pos="4680"/>
        <w:tab w:val="right" w:pos="9360"/>
      </w:tabs>
    </w:pPr>
  </w:style>
  <w:style w:type="character" w:customStyle="1" w:styleId="HeaderChar">
    <w:name w:val="Header Char"/>
    <w:link w:val="Header"/>
    <w:rsid w:val="00FC55E1"/>
    <w:rPr>
      <w:sz w:val="24"/>
      <w:szCs w:val="24"/>
    </w:rPr>
  </w:style>
  <w:style w:type="character" w:customStyle="1" w:styleId="FooterChar">
    <w:name w:val="Footer Char"/>
    <w:link w:val="Footer"/>
    <w:uiPriority w:val="99"/>
    <w:rsid w:val="00FC55E1"/>
    <w:rPr>
      <w:sz w:val="24"/>
      <w:szCs w:val="24"/>
    </w:rPr>
  </w:style>
  <w:style w:type="paragraph" w:styleId="ListParagraph">
    <w:name w:val="List Paragraph"/>
    <w:basedOn w:val="Normal"/>
    <w:uiPriority w:val="34"/>
    <w:qFormat/>
    <w:rsid w:val="00F20616"/>
    <w:pPr>
      <w:ind w:left="720"/>
    </w:pPr>
  </w:style>
  <w:style w:type="paragraph" w:styleId="NormalWeb">
    <w:name w:val="Normal (Web)"/>
    <w:basedOn w:val="Normal"/>
    <w:uiPriority w:val="99"/>
    <w:unhideWhenUsed/>
    <w:rsid w:val="00F20616"/>
    <w:pPr>
      <w:spacing w:before="100" w:beforeAutospacing="1" w:after="100" w:afterAutospacing="1"/>
    </w:pPr>
  </w:style>
  <w:style w:type="character" w:styleId="Hyperlink">
    <w:name w:val="Hyperlink"/>
    <w:basedOn w:val="DefaultParagraphFont"/>
    <w:uiPriority w:val="99"/>
    <w:unhideWhenUsed/>
    <w:rsid w:val="00A22A0F"/>
    <w:rPr>
      <w:color w:val="0563C1" w:themeColor="hyperlink"/>
      <w:u w:val="single"/>
    </w:rPr>
  </w:style>
  <w:style w:type="paragraph" w:styleId="BalloonText">
    <w:name w:val="Balloon Text"/>
    <w:basedOn w:val="Normal"/>
    <w:link w:val="BalloonTextChar"/>
    <w:rsid w:val="000D6F25"/>
    <w:rPr>
      <w:rFonts w:ascii="Tahoma" w:hAnsi="Tahoma" w:cs="Tahoma"/>
      <w:sz w:val="16"/>
      <w:szCs w:val="16"/>
    </w:rPr>
  </w:style>
  <w:style w:type="character" w:customStyle="1" w:styleId="BalloonTextChar">
    <w:name w:val="Balloon Text Char"/>
    <w:basedOn w:val="DefaultParagraphFont"/>
    <w:link w:val="BalloonText"/>
    <w:rsid w:val="000D6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SOTWDocs/GV/htm/GV.2054.htm" TargetMode="External"/><Relationship Id="rId13" Type="http://schemas.openxmlformats.org/officeDocument/2006/relationships/hyperlink" Target="http://www.statutes.legis.state.tx.us/Docs/PE/htm/PE.33A.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statutes.legis.state.tx.us/Docs/GV/htm/GV.552.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utes.legis.state.tx.us/SOTWDocs/GV/htm/GV.2054.htm" TargetMode="External"/><Relationship Id="rId5" Type="http://schemas.openxmlformats.org/officeDocument/2006/relationships/footnotes" Target="footnotes.xml"/><Relationship Id="rId15" Type="http://schemas.openxmlformats.org/officeDocument/2006/relationships/hyperlink" Target="http://www.statutes.legis.state.tx.us/Docs/GV/htm/GV.441.htm" TargetMode="External"/><Relationship Id="rId23" Type="http://schemas.openxmlformats.org/officeDocument/2006/relationships/theme" Target="theme/theme1.xml"/><Relationship Id="rId10" Type="http://schemas.openxmlformats.org/officeDocument/2006/relationships/hyperlink" Target="https://www.justice.gov/criminal-fraud/foreign-corrupt-practices-ac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sp.noaa.gov/policies/csa-1987.htm" TargetMode="External"/><Relationship Id="rId14" Type="http://schemas.openxmlformats.org/officeDocument/2006/relationships/hyperlink" Target="http://texreg.sos.state.tx.us/public/readtac$ext.ViewTAC?tac_view=5&amp;ti=1&amp;pt=10&amp;ch=202&amp;sch=C&amp;r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29.01.99.K1.060</vt:lpstr>
    </vt:vector>
  </TitlesOfParts>
  <Company>TAMUS - SAGO</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29.01.99.K1.060</dc:title>
  <dc:creator>sandersson</dc:creator>
  <cp:keywords>Email; SAP</cp:keywords>
  <cp:lastModifiedBy>Susan E Niemi</cp:lastModifiedBy>
  <cp:revision>2</cp:revision>
  <cp:lastPrinted>2019-05-06T22:31:00Z</cp:lastPrinted>
  <dcterms:created xsi:type="dcterms:W3CDTF">2019-05-07T19:53:00Z</dcterms:created>
  <dcterms:modified xsi:type="dcterms:W3CDTF">2019-05-07T19:53:00Z</dcterms:modified>
</cp:coreProperties>
</file>