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31" w:rsidRDefault="00731631" w:rsidP="00731631">
      <w:pPr>
        <w:jc w:val="center"/>
        <w:rPr>
          <w:b/>
        </w:rPr>
      </w:pPr>
      <w:bookmarkStart w:id="0" w:name="_GoBack"/>
      <w:bookmarkEnd w:id="0"/>
      <w:r>
        <w:rPr>
          <w:b/>
        </w:rPr>
        <w:t>Texas A&amp;M University-Kingsville Baccalaureate Social Work Program</w:t>
      </w:r>
    </w:p>
    <w:p w:rsidR="00731631" w:rsidRDefault="00731631" w:rsidP="00731631">
      <w:pPr>
        <w:jc w:val="center"/>
        <w:rPr>
          <w:b/>
        </w:rPr>
      </w:pPr>
      <w:r>
        <w:rPr>
          <w:b/>
        </w:rPr>
        <w:t>Aggregate Scores/Findings for Assessment of Student Learning Outcomes 2017</w:t>
      </w:r>
    </w:p>
    <w:p w:rsidR="00731631" w:rsidRPr="00476724" w:rsidRDefault="00731631" w:rsidP="00731631">
      <w:pPr>
        <w:jc w:val="center"/>
        <w:rPr>
          <w:b/>
        </w:rPr>
      </w:pPr>
    </w:p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1512"/>
        <w:gridCol w:w="2870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1512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870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77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1</w:t>
            </w:r>
            <w:r w:rsidRPr="00F006B5">
              <w:t xml:space="preserve">: </w:t>
            </w:r>
            <w:r>
              <w:t xml:space="preserve">Demonstrate Ethical and Professional Behavior </w:t>
            </w:r>
          </w:p>
        </w:tc>
        <w:tc>
          <w:tcPr>
            <w:tcW w:w="1512" w:type="dxa"/>
            <w:vMerge w:val="restart"/>
          </w:tcPr>
          <w:p w:rsidR="00731631" w:rsidRPr="00F006B5" w:rsidRDefault="00731631" w:rsidP="005C6501">
            <w:r>
              <w:t>70%</w:t>
            </w:r>
          </w:p>
        </w:tc>
        <w:tc>
          <w:tcPr>
            <w:tcW w:w="2870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  <w:r w:rsidRPr="00F006B5">
              <w:t xml:space="preserve"> </w:t>
            </w:r>
          </w:p>
        </w:tc>
        <w:tc>
          <w:tcPr>
            <w:tcW w:w="2191" w:type="dxa"/>
          </w:tcPr>
          <w:p w:rsidR="00731631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</w:p>
          <w:p w:rsidR="00731631" w:rsidRPr="0026597A" w:rsidRDefault="00731631" w:rsidP="005C6501">
            <w:r w:rsidRPr="0026597A">
              <w:t xml:space="preserve"> </w:t>
            </w:r>
          </w:p>
        </w:tc>
        <w:tc>
          <w:tcPr>
            <w:tcW w:w="2191" w:type="dxa"/>
            <w:vMerge w:val="restart"/>
          </w:tcPr>
          <w:p w:rsidR="00731631" w:rsidRPr="001A4C20" w:rsidRDefault="00731631" w:rsidP="005C6501">
            <w:pPr>
              <w:rPr>
                <w:b/>
              </w:rPr>
            </w:pPr>
          </w:p>
          <w:p w:rsidR="00731631" w:rsidRDefault="00731631" w:rsidP="005C6501"/>
          <w:p w:rsidR="00731631" w:rsidRDefault="00731631" w:rsidP="005C6501"/>
          <w:p w:rsidR="00731631" w:rsidRDefault="00731631" w:rsidP="005C6501">
            <w:r w:rsidRPr="001A4C20">
              <w:rPr>
                <w:u w:val="single"/>
              </w:rPr>
              <w:t>(</w:t>
            </w:r>
            <w:r>
              <w:rPr>
                <w:u w:val="single"/>
              </w:rPr>
              <w:t>94% + 90% = 184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92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1A4C20">
              <w:rPr>
                <w:b/>
              </w:rPr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 w:rsidRPr="00CA727B"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2735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1512" w:type="dxa"/>
            <w:vMerge/>
          </w:tcPr>
          <w:p w:rsidR="00731631" w:rsidRPr="00F006B5" w:rsidRDefault="00731631" w:rsidP="005C6501"/>
        </w:tc>
        <w:tc>
          <w:tcPr>
            <w:tcW w:w="2870" w:type="dxa"/>
          </w:tcPr>
          <w:p w:rsidR="00731631" w:rsidRPr="00F006B5" w:rsidRDefault="00731631" w:rsidP="005C6501">
            <w:r w:rsidRPr="00F006B5">
              <w:t>Measure 2: 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Default="00731631" w:rsidP="005C6501">
            <w:r w:rsidRPr="00E56063">
              <w:t>Measure 2:</w:t>
            </w:r>
            <w:r>
              <w:t xml:space="preserve"> 90%</w:t>
            </w:r>
          </w:p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1512"/>
        <w:gridCol w:w="2870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1512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870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77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2</w:t>
            </w:r>
            <w:r w:rsidRPr="00F006B5">
              <w:t xml:space="preserve">: </w:t>
            </w:r>
            <w:r>
              <w:t>Engage diversity and difference in Practice</w:t>
            </w:r>
          </w:p>
        </w:tc>
        <w:tc>
          <w:tcPr>
            <w:tcW w:w="1512" w:type="dxa"/>
            <w:vMerge w:val="restart"/>
          </w:tcPr>
          <w:p w:rsidR="00731631" w:rsidRPr="00F006B5" w:rsidRDefault="00731631" w:rsidP="005C6501">
            <w:r>
              <w:t>7</w:t>
            </w:r>
            <w:r w:rsidRPr="00F006B5">
              <w:t xml:space="preserve">0% </w:t>
            </w:r>
          </w:p>
        </w:tc>
        <w:tc>
          <w:tcPr>
            <w:tcW w:w="2870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2E7689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  <w:r w:rsidRPr="001A4C20">
              <w:rPr>
                <w:u w:val="single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r w:rsidRPr="001A4C20">
              <w:rPr>
                <w:u w:val="single"/>
              </w:rPr>
              <w:t>(</w:t>
            </w:r>
            <w:r>
              <w:rPr>
                <w:u w:val="single"/>
              </w:rPr>
              <w:t>94% + 90% = 184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92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1A4C20">
              <w:rPr>
                <w:b/>
              </w:rPr>
              <w:t>%</w:t>
            </w:r>
          </w:p>
          <w:p w:rsidR="00731631" w:rsidRDefault="00731631" w:rsidP="005C6501"/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1898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1512" w:type="dxa"/>
            <w:vMerge/>
          </w:tcPr>
          <w:p w:rsidR="00731631" w:rsidRPr="00F006B5" w:rsidRDefault="00731631" w:rsidP="005C6501"/>
        </w:tc>
        <w:tc>
          <w:tcPr>
            <w:tcW w:w="2870" w:type="dxa"/>
          </w:tcPr>
          <w:p w:rsidR="00731631" w:rsidRPr="00F006B5" w:rsidRDefault="00731631" w:rsidP="005C6501">
            <w:r w:rsidRPr="00F006B5">
              <w:t>Measure 2: 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2: </w:t>
            </w:r>
            <w:r>
              <w:t>90%</w:t>
            </w:r>
          </w:p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77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3</w:t>
            </w:r>
            <w:r w:rsidRPr="00F006B5">
              <w:t xml:space="preserve">: </w:t>
            </w:r>
            <w:r>
              <w:t>Advance human rights and social, economic, and environmental justice</w:t>
            </w:r>
          </w:p>
        </w:tc>
        <w:tc>
          <w:tcPr>
            <w:tcW w:w="2191" w:type="dxa"/>
            <w:vMerge w:val="restart"/>
          </w:tcPr>
          <w:p w:rsidR="00731631" w:rsidRPr="00F006B5" w:rsidRDefault="00731631" w:rsidP="005C6501">
            <w:r>
              <w:t>7</w:t>
            </w:r>
            <w:r w:rsidRPr="00F006B5">
              <w:t xml:space="preserve">0% 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383155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  <w:r w:rsidRPr="001A4C20">
              <w:rPr>
                <w:u w:val="single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r w:rsidRPr="001A4C20">
              <w:rPr>
                <w:u w:val="single"/>
              </w:rPr>
              <w:lastRenderedPageBreak/>
              <w:t>(</w:t>
            </w:r>
            <w:r>
              <w:rPr>
                <w:u w:val="single"/>
              </w:rPr>
              <w:t>94% + 79% = 173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86.5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86.5</w:t>
            </w:r>
            <w:r w:rsidRPr="001A4C20">
              <w:rPr>
                <w:b/>
              </w:rPr>
              <w:t>%</w:t>
            </w:r>
          </w:p>
          <w:p w:rsidR="00731631" w:rsidRDefault="00731631" w:rsidP="005C6501"/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1943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</w:tcPr>
          <w:p w:rsidR="00731631" w:rsidRPr="00F006B5" w:rsidRDefault="00731631" w:rsidP="005C6501">
            <w:r w:rsidRPr="00F006B5">
              <w:t>Measure 2: 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2: </w:t>
            </w:r>
            <w:r>
              <w:t>79</w:t>
            </w:r>
            <w:r w:rsidRPr="00F006B5">
              <w:t>%</w:t>
            </w:r>
          </w:p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77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4</w:t>
            </w:r>
            <w:r w:rsidRPr="00F006B5">
              <w:t xml:space="preserve">: </w:t>
            </w:r>
            <w:r>
              <w:t>Engage in practice-informed research and research-informed practice</w:t>
            </w:r>
          </w:p>
        </w:tc>
        <w:tc>
          <w:tcPr>
            <w:tcW w:w="2191" w:type="dxa"/>
            <w:vMerge w:val="restart"/>
          </w:tcPr>
          <w:p w:rsidR="00731631" w:rsidRPr="00F006B5" w:rsidRDefault="00731631" w:rsidP="005C6501">
            <w:r>
              <w:t>7</w:t>
            </w:r>
            <w:r w:rsidRPr="00F006B5">
              <w:t xml:space="preserve">0% 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383155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  <w:r w:rsidRPr="001A4C20">
              <w:rPr>
                <w:u w:val="single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r w:rsidRPr="001A4C20">
              <w:rPr>
                <w:u w:val="single"/>
              </w:rPr>
              <w:t>(</w:t>
            </w:r>
            <w:r>
              <w:rPr>
                <w:u w:val="single"/>
              </w:rPr>
              <w:t>94% + 80% = 174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87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Pr="001A4C20">
              <w:rPr>
                <w:b/>
              </w:rPr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1943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</w:tcPr>
          <w:p w:rsidR="00731631" w:rsidRPr="00F006B5" w:rsidRDefault="00731631" w:rsidP="005C6501">
            <w:r w:rsidRPr="00F006B5">
              <w:t>Measure 2: 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2: </w:t>
            </w:r>
            <w:r>
              <w:t>80</w:t>
            </w:r>
            <w:r w:rsidRPr="00F006B5">
              <w:t>%</w:t>
            </w:r>
          </w:p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700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5</w:t>
            </w:r>
            <w:r w:rsidRPr="00F006B5">
              <w:t xml:space="preserve">: </w:t>
            </w:r>
            <w:r>
              <w:t>Engage in policy practice</w:t>
            </w:r>
          </w:p>
        </w:tc>
        <w:tc>
          <w:tcPr>
            <w:tcW w:w="2191" w:type="dxa"/>
            <w:vMerge w:val="restart"/>
          </w:tcPr>
          <w:p w:rsidR="00731631" w:rsidRPr="00F006B5" w:rsidRDefault="00731631" w:rsidP="005C6501">
            <w:r>
              <w:t>7</w:t>
            </w:r>
            <w:r w:rsidRPr="00F006B5">
              <w:t xml:space="preserve">0% 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01355B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r w:rsidRPr="001A4C20">
              <w:rPr>
                <w:u w:val="single"/>
              </w:rPr>
              <w:t>(</w:t>
            </w:r>
            <w:r>
              <w:rPr>
                <w:u w:val="single"/>
              </w:rPr>
              <w:t>94% + 78% = 172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86</w:t>
            </w:r>
            <w:r w:rsidRPr="001A4C20">
              <w:rPr>
                <w:u w:val="single"/>
              </w:rPr>
              <w:t>%)</w:t>
            </w:r>
          </w:p>
          <w:p w:rsidR="00731631" w:rsidRDefault="00731631" w:rsidP="005C6501">
            <w:pPr>
              <w:jc w:val="center"/>
              <w:rPr>
                <w:b/>
              </w:rPr>
            </w:pPr>
          </w:p>
          <w:p w:rsidR="00731631" w:rsidRPr="0001355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Pr="001A4C20">
              <w:rPr>
                <w:b/>
              </w:rPr>
              <w:t>%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1835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</w:tcPr>
          <w:p w:rsidR="00731631" w:rsidRPr="00F006B5" w:rsidRDefault="00731631" w:rsidP="005C6501">
            <w:r w:rsidRPr="00F006B5">
              <w:t>Measure 2: 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2: </w:t>
            </w:r>
            <w:r>
              <w:t>78%</w:t>
            </w:r>
          </w:p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77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6</w:t>
            </w:r>
            <w:r w:rsidRPr="00F006B5">
              <w:t xml:space="preserve">: </w:t>
            </w:r>
            <w:r>
              <w:t xml:space="preserve">Engage with individuals, families, groups, </w:t>
            </w:r>
            <w:r>
              <w:lastRenderedPageBreak/>
              <w:t>organizations, and communities</w:t>
            </w:r>
          </w:p>
        </w:tc>
        <w:tc>
          <w:tcPr>
            <w:tcW w:w="2191" w:type="dxa"/>
            <w:vMerge w:val="restart"/>
          </w:tcPr>
          <w:p w:rsidR="00731631" w:rsidRPr="00F006B5" w:rsidRDefault="00731631" w:rsidP="005C6501">
            <w:r>
              <w:lastRenderedPageBreak/>
              <w:t>7</w:t>
            </w:r>
            <w:r w:rsidRPr="00F006B5">
              <w:t xml:space="preserve">0% 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023140" w:rsidRDefault="00731631" w:rsidP="005C6501">
            <w:r>
              <w:t>Measure 1</w:t>
            </w:r>
            <w:r w:rsidRPr="00F006B5">
              <w:t xml:space="preserve">: </w:t>
            </w:r>
            <w:r>
              <w:t>88%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r w:rsidRPr="001A4C20">
              <w:rPr>
                <w:u w:val="single"/>
              </w:rPr>
              <w:lastRenderedPageBreak/>
              <w:t>(</w:t>
            </w:r>
            <w:r>
              <w:rPr>
                <w:u w:val="single"/>
              </w:rPr>
              <w:t>88% + 85% = 173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86.5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86.5</w:t>
            </w:r>
            <w:r w:rsidRPr="001A4C20">
              <w:rPr>
                <w:b/>
              </w:rPr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1817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</w:tcPr>
          <w:p w:rsidR="00731631" w:rsidRPr="00F006B5" w:rsidRDefault="00731631" w:rsidP="005C6501">
            <w:r w:rsidRPr="00F006B5">
              <w:t>Measure 2: 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Default="00731631" w:rsidP="005C6501">
            <w:r w:rsidRPr="00F006B5">
              <w:t xml:space="preserve">Measure 2: </w:t>
            </w:r>
            <w:r>
              <w:t>85</w:t>
            </w:r>
            <w:r w:rsidRPr="00F006B5"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77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7</w:t>
            </w:r>
            <w:r w:rsidRPr="00F006B5">
              <w:t xml:space="preserve">: </w:t>
            </w:r>
            <w:r>
              <w:t>Assess individuals, families, groups, organizations, and communities</w:t>
            </w:r>
          </w:p>
        </w:tc>
        <w:tc>
          <w:tcPr>
            <w:tcW w:w="2191" w:type="dxa"/>
            <w:vMerge w:val="restart"/>
          </w:tcPr>
          <w:p w:rsidR="00731631" w:rsidRPr="00F006B5" w:rsidRDefault="00731631" w:rsidP="005C6501">
            <w:r>
              <w:t>7</w:t>
            </w:r>
            <w:r w:rsidRPr="00F006B5">
              <w:t xml:space="preserve">0% 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023140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r w:rsidRPr="001A4C20">
              <w:rPr>
                <w:u w:val="single"/>
              </w:rPr>
              <w:t>(</w:t>
            </w:r>
            <w:r>
              <w:rPr>
                <w:u w:val="single"/>
              </w:rPr>
              <w:t>94% + 88% = 182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91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1A4C20">
              <w:rPr>
                <w:b/>
              </w:rPr>
              <w:t>%</w:t>
            </w:r>
          </w:p>
          <w:p w:rsidR="00731631" w:rsidRDefault="00731631" w:rsidP="005C6501"/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1817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</w:tcPr>
          <w:p w:rsidR="00731631" w:rsidRPr="00F006B5" w:rsidRDefault="00731631" w:rsidP="005C6501">
            <w:r w:rsidRPr="00F006B5">
              <w:t>Measure 2</w:t>
            </w:r>
            <w:r>
              <w:t xml:space="preserve">: </w:t>
            </w:r>
            <w:r w:rsidRPr="00F006B5">
              <w:t>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Default="00731631" w:rsidP="005C6501">
            <w:r w:rsidRPr="00F006B5">
              <w:t xml:space="preserve">Measure 2: </w:t>
            </w:r>
            <w:r>
              <w:t>88</w:t>
            </w:r>
            <w:r w:rsidRPr="00F006B5"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05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8</w:t>
            </w:r>
            <w:r w:rsidRPr="00F006B5">
              <w:t xml:space="preserve">: </w:t>
            </w:r>
            <w:r>
              <w:t>Intervene with individuals, families, groups, organizations, and communities</w:t>
            </w:r>
          </w:p>
        </w:tc>
        <w:tc>
          <w:tcPr>
            <w:tcW w:w="2191" w:type="dxa"/>
            <w:vMerge w:val="restart"/>
          </w:tcPr>
          <w:p w:rsidR="00731631" w:rsidRPr="00F006B5" w:rsidRDefault="00731631" w:rsidP="005C6501">
            <w:r>
              <w:t>7</w:t>
            </w:r>
            <w:r w:rsidRPr="00F006B5">
              <w:t xml:space="preserve">0% 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0E1649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  <w:r w:rsidRPr="001A4C20">
              <w:rPr>
                <w:u w:val="single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r w:rsidRPr="001A4C20">
              <w:rPr>
                <w:u w:val="single"/>
              </w:rPr>
              <w:t>(</w:t>
            </w:r>
            <w:r>
              <w:rPr>
                <w:u w:val="single"/>
              </w:rPr>
              <w:t>94% + 85% = 179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89.5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89.5</w:t>
            </w:r>
            <w:r w:rsidRPr="001A4C20">
              <w:rPr>
                <w:b/>
              </w:rPr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440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</w:tcPr>
          <w:p w:rsidR="00731631" w:rsidRPr="00F006B5" w:rsidRDefault="00731631" w:rsidP="005C6501">
            <w:r w:rsidRPr="00F006B5">
              <w:t>Measure 2: St</w:t>
            </w:r>
            <w:r>
              <w:t>udents will score a 70% or above passing on each test item on the exit exam</w:t>
            </w:r>
          </w:p>
        </w:tc>
        <w:tc>
          <w:tcPr>
            <w:tcW w:w="2191" w:type="dxa"/>
          </w:tcPr>
          <w:p w:rsidR="00731631" w:rsidRDefault="00731631" w:rsidP="005C6501">
            <w:r w:rsidRPr="00F006B5">
              <w:t xml:space="preserve">Measure 2: </w:t>
            </w:r>
            <w:r>
              <w:t>85</w:t>
            </w:r>
            <w:r w:rsidRPr="00F006B5"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731631" w:rsidRDefault="00731631" w:rsidP="00731631"/>
    <w:tbl>
      <w:tblPr>
        <w:tblW w:w="131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91"/>
      </w:tblGrid>
      <w:tr w:rsidR="00731631" w:rsidRPr="00F006B5" w:rsidTr="00731631">
        <w:trPr>
          <w:trHeight w:val="451"/>
        </w:trPr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For this standard, provide the data.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Outcome Measure Benchmark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 Attaining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Percentage of Students Achieving Competency 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:rsidR="00731631" w:rsidRPr="00F006B5" w:rsidRDefault="00731631" w:rsidP="005C6501">
            <w:r w:rsidRPr="00F006B5">
              <w:t xml:space="preserve">Competency Attained? </w:t>
            </w:r>
          </w:p>
        </w:tc>
      </w:tr>
      <w:tr w:rsidR="00731631" w:rsidRPr="00F006B5" w:rsidTr="005C6501">
        <w:trPr>
          <w:trHeight w:val="1205"/>
        </w:trPr>
        <w:tc>
          <w:tcPr>
            <w:tcW w:w="2191" w:type="dxa"/>
            <w:vMerge w:val="restart"/>
          </w:tcPr>
          <w:p w:rsidR="00731631" w:rsidRPr="00F006B5" w:rsidRDefault="00731631" w:rsidP="005C6501">
            <w:r>
              <w:t>Competency 9</w:t>
            </w:r>
            <w:r w:rsidRPr="00F006B5">
              <w:t xml:space="preserve">: </w:t>
            </w:r>
            <w:r>
              <w:t>Evaluate practice with individuals, families, groups, organizations, and communities</w:t>
            </w:r>
          </w:p>
        </w:tc>
        <w:tc>
          <w:tcPr>
            <w:tcW w:w="2191" w:type="dxa"/>
            <w:vMerge w:val="restart"/>
          </w:tcPr>
          <w:p w:rsidR="00731631" w:rsidRPr="00F006B5" w:rsidRDefault="00731631" w:rsidP="005C6501">
            <w:r>
              <w:t>7</w:t>
            </w:r>
            <w:r w:rsidRPr="00F006B5">
              <w:t xml:space="preserve">0% 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t xml:space="preserve">Measure 1: Students </w:t>
            </w:r>
            <w:r>
              <w:t>will</w:t>
            </w:r>
            <w:r w:rsidRPr="00F006B5">
              <w:t xml:space="preserve"> score a </w:t>
            </w:r>
            <w:r>
              <w:t>3 or greater on their final field evaluation</w:t>
            </w:r>
          </w:p>
        </w:tc>
        <w:tc>
          <w:tcPr>
            <w:tcW w:w="2191" w:type="dxa"/>
          </w:tcPr>
          <w:p w:rsidR="00731631" w:rsidRPr="00D1264D" w:rsidRDefault="00731631" w:rsidP="005C6501">
            <w:r>
              <w:t>Measure 1</w:t>
            </w:r>
            <w:r w:rsidRPr="00F006B5">
              <w:t xml:space="preserve">: </w:t>
            </w:r>
            <w:r>
              <w:t>94%</w:t>
            </w:r>
            <w:r w:rsidRPr="001A4C20">
              <w:rPr>
                <w:u w:val="single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>
            <w:pPr>
              <w:rPr>
                <w:u w:val="single"/>
              </w:rPr>
            </w:pPr>
          </w:p>
          <w:p w:rsidR="00731631" w:rsidRDefault="00731631" w:rsidP="005C6501">
            <w:r w:rsidRPr="001A4C20">
              <w:rPr>
                <w:u w:val="single"/>
              </w:rPr>
              <w:t>(</w:t>
            </w:r>
            <w:r>
              <w:rPr>
                <w:u w:val="single"/>
              </w:rPr>
              <w:t>94% + 78% = 172</w:t>
            </w:r>
            <w:r w:rsidRPr="001A4C20">
              <w:rPr>
                <w:u w:val="single"/>
              </w:rPr>
              <w:t xml:space="preserve">/2 = </w:t>
            </w:r>
            <w:r>
              <w:rPr>
                <w:u w:val="single"/>
              </w:rPr>
              <w:t>86</w:t>
            </w:r>
            <w:r w:rsidRPr="001A4C20">
              <w:rPr>
                <w:u w:val="single"/>
              </w:rPr>
              <w:t>%)</w:t>
            </w:r>
          </w:p>
          <w:p w:rsidR="00731631" w:rsidRPr="001A4C20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Pr="001A4C20">
              <w:rPr>
                <w:b/>
              </w:rPr>
              <w:t>%</w:t>
            </w:r>
          </w:p>
          <w:p w:rsidR="00731631" w:rsidRPr="00F006B5" w:rsidRDefault="00731631" w:rsidP="005C6501"/>
        </w:tc>
        <w:tc>
          <w:tcPr>
            <w:tcW w:w="2191" w:type="dxa"/>
            <w:vMerge w:val="restart"/>
          </w:tcPr>
          <w:p w:rsidR="00731631" w:rsidRDefault="00731631" w:rsidP="005C6501"/>
          <w:p w:rsidR="00731631" w:rsidRDefault="00731631" w:rsidP="005C6501"/>
          <w:p w:rsidR="00731631" w:rsidRDefault="00731631" w:rsidP="005C6501">
            <w:pPr>
              <w:rPr>
                <w:b/>
              </w:rPr>
            </w:pPr>
          </w:p>
          <w:p w:rsidR="00731631" w:rsidRPr="00CA727B" w:rsidRDefault="00731631" w:rsidP="005C650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31631" w:rsidRPr="00F006B5" w:rsidTr="005C6501">
        <w:trPr>
          <w:trHeight w:val="440"/>
        </w:trPr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</w:tcPr>
          <w:p w:rsidR="00731631" w:rsidRPr="00F006B5" w:rsidRDefault="00731631" w:rsidP="005C6501">
            <w:r w:rsidRPr="00F006B5">
              <w:t>Measure 2: : St</w:t>
            </w:r>
            <w:r>
              <w:t xml:space="preserve">udents will score a 70% or above passing on each </w:t>
            </w:r>
            <w:r>
              <w:lastRenderedPageBreak/>
              <w:t>test item on the exit exam</w:t>
            </w:r>
          </w:p>
        </w:tc>
        <w:tc>
          <w:tcPr>
            <w:tcW w:w="2191" w:type="dxa"/>
          </w:tcPr>
          <w:p w:rsidR="00731631" w:rsidRPr="00F006B5" w:rsidRDefault="00731631" w:rsidP="005C6501">
            <w:r w:rsidRPr="00F006B5">
              <w:lastRenderedPageBreak/>
              <w:t xml:space="preserve">Measure 2: </w:t>
            </w:r>
            <w:r>
              <w:t>78%</w:t>
            </w:r>
          </w:p>
        </w:tc>
        <w:tc>
          <w:tcPr>
            <w:tcW w:w="2191" w:type="dxa"/>
            <w:vMerge/>
          </w:tcPr>
          <w:p w:rsidR="00731631" w:rsidRPr="00F006B5" w:rsidRDefault="00731631" w:rsidP="005C6501"/>
        </w:tc>
        <w:tc>
          <w:tcPr>
            <w:tcW w:w="2191" w:type="dxa"/>
            <w:vMerge/>
          </w:tcPr>
          <w:p w:rsidR="00731631" w:rsidRPr="00F006B5" w:rsidRDefault="00731631" w:rsidP="005C6501"/>
        </w:tc>
      </w:tr>
    </w:tbl>
    <w:p w:rsidR="004966DD" w:rsidRDefault="004966DD"/>
    <w:sectPr w:rsidR="004966DD" w:rsidSect="007316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31"/>
    <w:rsid w:val="004966DD"/>
    <w:rsid w:val="00667345"/>
    <w:rsid w:val="00731631"/>
    <w:rsid w:val="008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A619F-C493-43AB-B0E5-AA09470C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Iyescas</dc:creator>
  <cp:keywords/>
  <dc:description/>
  <cp:lastModifiedBy>Sonia E Galvan</cp:lastModifiedBy>
  <cp:revision>2</cp:revision>
  <dcterms:created xsi:type="dcterms:W3CDTF">2019-04-26T18:19:00Z</dcterms:created>
  <dcterms:modified xsi:type="dcterms:W3CDTF">2019-04-26T18:19:00Z</dcterms:modified>
</cp:coreProperties>
</file>